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10067C" w:rsidRDefault="0010067C">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10067C" w:rsidRDefault="0010067C">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10067C" w:rsidRDefault="0010067C">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10067C" w:rsidRDefault="0010067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10067C" w:rsidRDefault="0010067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10067C" w:rsidRDefault="0010067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10067C" w:rsidRDefault="0010067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10067C" w:rsidRDefault="0010067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10067C" w:rsidRDefault="0010067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10067C" w:rsidRDefault="0010067C">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VCBC Shower Baths</w:t>
      </w:r>
      <w:r>
        <w:rPr>
          <w:rFonts w:ascii="Cambria" w:eastAsia="Times New Roman" w:hAnsi="Cambria" w:cs="Microsoft Sans Serif"/>
          <w:color w:val="4827EC"/>
          <w:sz w:val="42"/>
          <w:szCs w:val="42"/>
          <w:lang w:val="en"/>
        </w:rPr>
        <w:br/>
        <w:t>BPIR Declaration</w:t>
      </w:r>
    </w:p>
    <w:p w:rsidR="0010067C" w:rsidRDefault="0010067C">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V100823</w:t>
      </w:r>
    </w:p>
    <w:p w:rsidR="0010067C" w:rsidRDefault="0010067C">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10067C" w:rsidRDefault="0010067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Bath Co. has provided this declaration to satisfy the provisions of Schedule 1(d) of the Building (Building Product Information Requirements) Regulations 2022.</w:t>
      </w:r>
    </w:p>
    <w:p w:rsidR="0010067C" w:rsidRDefault="0010067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VCBC Shower Baths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Shower baths system with glass screens, side panels and wall panels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B Shower Bath, Square Shower Bath</w:t>
            </w:r>
          </w:p>
        </w:tc>
      </w:tr>
    </w:tbl>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lastRenderedPageBreak/>
        <w:t>VCBC Shower Baths and bath side panels are made from white acrylic and fibreglass backing to add support.</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These baths are available in left or right orientations</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 baths are self supporting on adjustable steel legs. the include brass and plastic overflow and waste fittings.</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 wall panels are made of white acrylic sheets</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 side panels are tempered glass with chrome trim</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 baths are 1700mm L x 430mm H x 850-900mm W</w:t>
      </w:r>
    </w:p>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VCBC Acrylic Shower Baths are intended for domestic and commercial use. They are designed to enclose water. They can be used with water temperatures up to 55 degrees celsius.</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VCBC Acrylic Shower Baths are to be installed using the waste fitting supplied with the bath.</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These baths are to be mounted on a stable floor surface and sealed when fitted against the walls.</w:t>
      </w:r>
    </w:p>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VCBC acrylic Shower Baths must be installed in accordance with the instructions provided. We recommend these baths are installed by an authorised installer. Floor surfaces must be flat and free of movement, and unheated.</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These products are intended for domestic and commercial use. They are cleanable and impervious to moisture — cleaning of the bath shall be done in accordance with the manufacturer's cleaning instructions.</w:t>
      </w:r>
    </w:p>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10067C" w:rsidRDefault="001006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10067C" w:rsidRDefault="001006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10067C" w:rsidRDefault="001006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 Personal Hygiene</w:t>
      </w:r>
      <w:r>
        <w:rPr>
          <w:rFonts w:ascii="Microsoft Sans Serif" w:hAnsi="Microsoft Sans Serif" w:cs="Microsoft Sans Serif"/>
          <w:lang w:val="en"/>
        </w:rPr>
        <w:t xml:space="preserve"> — G1.3.2</w:t>
      </w:r>
    </w:p>
    <w:p w:rsidR="0010067C" w:rsidRDefault="001006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G12 Water Supplies</w:t>
      </w:r>
      <w:r>
        <w:rPr>
          <w:rFonts w:ascii="Microsoft Sans Serif" w:hAnsi="Microsoft Sans Serif" w:cs="Microsoft Sans Serif"/>
          <w:lang w:val="en"/>
        </w:rPr>
        <w:t xml:space="preserve"> — G12.3.5</w:t>
      </w:r>
    </w:p>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 B2 Durability o B2.3.1 VCBC Shower Baths carry a 5 year warranty for normal, domestic use, and 1 year warranty for commercial use</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 F2 Hazardous building materials o F2.3.1 VCBC Shower Baths are safe when handled. There are no requirements for this product in order to comply with Acceptable Solution F2/AS1, First Edition Amendment 3, 2017.</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 G1 Personal Hygiene o G1.3.2 VCBC Shower Baths shall be installed to: facilitate sanitation, avoid harbouring dirt or germs, allow effective cleaning, discharge to a plumbing and drainage system as required by Clause G13 Foul water when water-borne disposal is used, and provide a healthy safe disposal system when non-water-borne disposal is used Sanitary fittings should be easy to locate and identify, with their operation easy to understand and suitable for both standing and seated users.</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•G12 For Water supplies G12, the prime building product objective is to ensure that the product used in water supply will not contaminate potable water either by way of material leaching into the water or cross connections and will not leak</w:t>
      </w:r>
    </w:p>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261"/>
        <w:gridCol w:w="5015"/>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Strong"/>
                <w:rFonts w:ascii="Microsoft Sans Serif" w:eastAsia="Times New Roman" w:hAnsi="Microsoft Sans Serif" w:cs="Microsoft Sans Serif"/>
              </w:rPr>
              <w:t>VCBC Shower Baths Further Info</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V100823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https://www.bathco.co.nz/bathrooms/baths/shower-baths/1/?max_price=8000&amp;max_width=3000&amp;ob=new&amp;od=</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Baths Warranty Info</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V100823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https://www.bathco.co.nz/warranties</w:t>
              </w:r>
            </w:hyperlink>
          </w:p>
        </w:tc>
      </w:tr>
    </w:tbl>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VCBC Shower Baths claims refer to our website.</w:t>
      </w:r>
    </w:p>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484"/>
        <w:gridCol w:w="3482"/>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r>
              <w:rPr>
                <w:rFonts w:ascii="Microsoft Sans Serif" w:eastAsia="Times New Roman" w:hAnsi="Microsoft Sans Serif" w:cs="Microsoft Sans Serif"/>
              </w:rPr>
              <w:t>Bathroom Brands Group</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r>
              <w:rPr>
                <w:rFonts w:ascii="Microsoft Sans Serif" w:eastAsia="Times New Roman" w:hAnsi="Microsoft Sans Serif" w:cs="Microsoft Sans Serif"/>
              </w:rPr>
              <w:t>Bath Co.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86 Wigram Road </w:t>
            </w:r>
            <w:r>
              <w:rPr>
                <w:rFonts w:ascii="Microsoft Sans Serif" w:eastAsia="Times New Roman" w:hAnsi="Microsoft Sans Serif" w:cs="Microsoft Sans Serif"/>
              </w:rPr>
              <w:br/>
              <w:t>Christchurch 8025</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hyperlink r:id="rId8" w:history="1">
              <w:r>
                <w:rPr>
                  <w:rStyle w:val="Hyperlink"/>
                  <w:rFonts w:ascii="Microsoft Sans Serif" w:eastAsia="Times New Roman" w:hAnsi="Microsoft Sans Serif" w:cs="Microsoft Sans Serif"/>
                </w:rPr>
                <w:t>www.bathco.co.nz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r>
              <w:rPr>
                <w:rFonts w:ascii="Microsoft Sans Serif" w:eastAsia="Times New Roman" w:hAnsi="Microsoft Sans Serif" w:cs="Microsoft Sans Serif"/>
              </w:rPr>
              <w:t>9429041650790</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r>
              <w:rPr>
                <w:rFonts w:ascii="Microsoft Sans Serif" w:eastAsia="Times New Roman" w:hAnsi="Microsoft Sans Serif" w:cs="Microsoft Sans Serif"/>
              </w:rPr>
              <w:t>info@bathco.co.nz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10067C" w:rsidRDefault="0010067C">
            <w:pPr>
              <w:wordWrap w:val="0"/>
              <w:rPr>
                <w:rFonts w:ascii="Microsoft Sans Serif" w:eastAsia="Times New Roman" w:hAnsi="Microsoft Sans Serif" w:cs="Microsoft Sans Serif"/>
              </w:rPr>
            </w:pPr>
            <w:r>
              <w:rPr>
                <w:rFonts w:ascii="Microsoft Sans Serif" w:eastAsia="Times New Roman" w:hAnsi="Microsoft Sans Serif" w:cs="Microsoft Sans Serif"/>
              </w:rPr>
              <w:t>033430969</w:t>
            </w:r>
          </w:p>
        </w:tc>
      </w:tr>
    </w:tbl>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VCBC Shower Baths is not subject to a warning on ban under </w:t>
      </w:r>
      <w:hyperlink r:id="rId9"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Bath Co.:</w:t>
      </w:r>
    </w:p>
    <w:p w:rsidR="0010067C" w:rsidRDefault="0010067C">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10067C" w:rsidRDefault="0010067C">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10067C" w:rsidRDefault="0010067C">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Bath Co.</w:t>
      </w:r>
      <w:r>
        <w:rPr>
          <w:rFonts w:ascii="Microsoft Sans Serif" w:hAnsi="Microsoft Sans Serif" w:cs="Microsoft Sans Serif"/>
          <w:sz w:val="20"/>
          <w:szCs w:val="20"/>
          <w:lang w:val="en"/>
        </w:rPr>
        <w:br/>
        <w:t>86 Wigram Road Christchurch 8025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033430969 | </w:t>
      </w:r>
      <w:hyperlink r:id="rId10" w:tgtFrame="_blank" w:history="1">
        <w:r>
          <w:rPr>
            <w:rStyle w:val="Hyperlink"/>
            <w:rFonts w:ascii="Microsoft Sans Serif" w:hAnsi="Microsoft Sans Serif" w:cs="Microsoft Sans Serif"/>
            <w:sz w:val="20"/>
            <w:szCs w:val="20"/>
            <w:lang w:val="en"/>
          </w:rPr>
          <w:t>www.bathco.co.nz</w:t>
        </w:r>
      </w:hyperlink>
      <w:r>
        <w:rPr>
          <w:rFonts w:ascii="Microsoft Sans Serif" w:hAnsi="Microsoft Sans Serif" w:cs="Microsoft Sans Serif"/>
          <w:sz w:val="20"/>
          <w:szCs w:val="20"/>
          <w:lang w:val="en"/>
        </w:rPr>
        <w:t xml:space="preserve"> </w:t>
      </w:r>
    </w:p>
    <w:p w:rsidR="0010067C" w:rsidRDefault="0010067C">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10067C" w:rsidRDefault="0010067C">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10067C" w:rsidRDefault="0010067C">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Sanitary fixtures and appliances [legacy category]</w:t>
      </w:r>
    </w:p>
    <w:tbl>
      <w:tblPr>
        <w:tblW w:w="5000" w:type="pct"/>
        <w:tblCellMar>
          <w:top w:w="15" w:type="dxa"/>
          <w:left w:w="15" w:type="dxa"/>
          <w:bottom w:w="15" w:type="dxa"/>
          <w:right w:w="15" w:type="dxa"/>
        </w:tblCellMar>
        <w:tblLook w:val="04A0" w:firstRow="1" w:lastRow="0" w:firstColumn="1" w:lastColumn="0" w:noHBand="0" w:noVBand="1"/>
      </w:tblPr>
      <w:tblGrid>
        <w:gridCol w:w="6583"/>
        <w:gridCol w:w="1287"/>
        <w:gridCol w:w="1096"/>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10067C" w:rsidRDefault="0010067C">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 xml:space="preserve">Suitable for Accessible facilities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rPr>
                <w:rFonts w:ascii="Microsoft Sans Serif" w:eastAsia="Times New Roman" w:hAnsi="Microsoft Sans Serif" w:cs="Microsoft Sans Serif"/>
              </w:rPr>
            </w:pPr>
            <w:r>
              <w:rPr>
                <w:rFonts w:ascii="Microsoft Sans Serif" w:eastAsia="Times New Roman" w:hAnsi="Microsoft Sans Serif" w:cs="Microsoft Sans Serif"/>
              </w:rPr>
              <w:t xml:space="preserve">Provision of hot water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10067C" w:rsidRDefault="0010067C">
            <w:pPr>
              <w:jc w:val="center"/>
              <w:rPr>
                <w:rFonts w:ascii="Microsoft Sans Serif" w:eastAsia="Times New Roman" w:hAnsi="Microsoft Sans Serif" w:cs="Microsoft Sans Serif"/>
                <w:b/>
                <w:bCs/>
              </w:rPr>
            </w:pPr>
          </w:p>
        </w:tc>
      </w:tr>
    </w:tbl>
    <w:p w:rsidR="0010067C" w:rsidRDefault="001006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10067C" w:rsidRDefault="001006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10067C" w:rsidRDefault="001006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10067C" w:rsidRDefault="0010067C">
      <w:pPr>
        <w:pStyle w:val="NormalWeb"/>
        <w:divId w:val="589198892"/>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10067C" w:rsidRDefault="0010067C">
      <w:pPr>
        <w:pStyle w:val="NormalWeb"/>
        <w:divId w:val="58919889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10067C" w:rsidRDefault="0010067C">
      <w:pPr>
        <w:numPr>
          <w:ilvl w:val="0"/>
          <w:numId w:val="2"/>
        </w:numPr>
        <w:spacing w:before="100" w:beforeAutospacing="1" w:after="100" w:afterAutospacing="1"/>
        <w:divId w:val="58919889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10067C" w:rsidRDefault="001006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10067C" w:rsidRDefault="0010067C">
      <w:pPr>
        <w:pStyle w:val="NormalWeb"/>
        <w:divId w:val="35581798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10067C" w:rsidRDefault="0010067C">
      <w:pPr>
        <w:pStyle w:val="NormalWeb"/>
        <w:divId w:val="35581798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10067C" w:rsidRDefault="001006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 Personal Hygiene</w:t>
      </w:r>
    </w:p>
    <w:p w:rsidR="0010067C" w:rsidRDefault="0010067C">
      <w:pPr>
        <w:pStyle w:val="NormalWeb"/>
        <w:divId w:val="1473255072"/>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G1.3.2</w:t>
      </w:r>
    </w:p>
    <w:p w:rsidR="0010067C" w:rsidRDefault="0010067C">
      <w:pPr>
        <w:pStyle w:val="NormalWeb"/>
        <w:divId w:val="147325507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be located, constructed and installed to:</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facilitate</w:t>
      </w:r>
      <w:r>
        <w:rPr>
          <w:rFonts w:ascii="Microsoft Sans Serif" w:eastAsia="Times New Roman" w:hAnsi="Microsoft Sans Serif" w:cs="Microsoft Sans Serif"/>
          <w:sz w:val="20"/>
          <w:szCs w:val="20"/>
          <w:lang w:val="en"/>
        </w:rPr>
        <w:t> </w:t>
      </w:r>
      <w:r>
        <w:rPr>
          <w:rStyle w:val="tooltip-trigger"/>
          <w:rFonts w:ascii="Microsoft Sans Serif" w:eastAsia="Times New Roman" w:hAnsi="Microsoft Sans Serif" w:cs="Microsoft Sans Serif"/>
          <w:i/>
          <w:iCs/>
          <w:sz w:val="20"/>
          <w:szCs w:val="20"/>
          <w:lang w:val="en"/>
        </w:rPr>
        <w:t>sanitatio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risk of food contamination,</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harbouring dirt or germs,</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appropriate privacy,</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affecting occupants of adjacent spaces from the presence of unpleasant odours, accumulation of offensive matter, or other source of annoyance,</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allow effective cleaning,</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discharge to a plumbing and drainage system as required by Clause G13 Foul water when water-borne disposal is used, and</w:t>
      </w:r>
    </w:p>
    <w:p w:rsidR="0010067C" w:rsidRDefault="0010067C">
      <w:pPr>
        <w:numPr>
          <w:ilvl w:val="0"/>
          <w:numId w:val="3"/>
        </w:numPr>
        <w:spacing w:before="100" w:beforeAutospacing="1" w:after="100" w:afterAutospacing="1"/>
        <w:divId w:val="147325507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a healthy safe disposal system when non-water-borne disposal is used.</w:t>
      </w:r>
    </w:p>
    <w:p w:rsidR="0010067C" w:rsidRDefault="001006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G12 Water Supplies</w:t>
      </w:r>
    </w:p>
    <w:p w:rsidR="0010067C" w:rsidRDefault="0010067C">
      <w:pPr>
        <w:pStyle w:val="NormalWeb"/>
        <w:divId w:val="1764296012"/>
        <w:rPr>
          <w:rFonts w:ascii="Microsoft Sans Serif" w:hAnsi="Microsoft Sans Serif" w:cs="Microsoft Sans Serif"/>
          <w:sz w:val="20"/>
          <w:szCs w:val="20"/>
          <w:lang w:val="en"/>
        </w:rPr>
      </w:pPr>
      <w:r>
        <w:rPr>
          <w:rFonts w:ascii="Microsoft Sans Serif" w:hAnsi="Microsoft Sans Serif" w:cs="Microsoft Sans Serif"/>
          <w:sz w:val="20"/>
          <w:szCs w:val="20"/>
          <w:lang w:val="en"/>
        </w:rPr>
        <w:t>G12.3.5</w:t>
      </w:r>
    </w:p>
    <w:p w:rsidR="0010067C" w:rsidRDefault="0010067C">
      <w:pPr>
        <w:pStyle w:val="NormalWeb"/>
        <w:divId w:val="176429601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appliance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must be provided with hot water when intended to be used for</w:t>
      </w:r>
    </w:p>
    <w:p w:rsidR="0010067C" w:rsidRDefault="0010067C">
      <w:pPr>
        <w:numPr>
          <w:ilvl w:val="0"/>
          <w:numId w:val="4"/>
        </w:numPr>
        <w:spacing w:before="100" w:beforeAutospacing="1" w:after="100" w:afterAutospacing="1"/>
        <w:divId w:val="176429601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utensil washing; and</w:t>
      </w:r>
    </w:p>
    <w:p w:rsidR="0010067C" w:rsidRDefault="0010067C">
      <w:pPr>
        <w:numPr>
          <w:ilvl w:val="0"/>
          <w:numId w:val="4"/>
        </w:numPr>
        <w:spacing w:before="100" w:beforeAutospacing="1" w:after="100" w:afterAutospacing="1"/>
        <w:divId w:val="176429601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personal washing, showering, or bathing.</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FEB"/>
    <w:multiLevelType w:val="multilevel"/>
    <w:tmpl w:val="AB5EE0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4627525"/>
    <w:multiLevelType w:val="multilevel"/>
    <w:tmpl w:val="ADA65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DC6523"/>
    <w:multiLevelType w:val="multilevel"/>
    <w:tmpl w:val="6BD653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A779D"/>
    <w:multiLevelType w:val="multilevel"/>
    <w:tmpl w:val="31B2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549817">
    <w:abstractNumId w:val="2"/>
  </w:num>
  <w:num w:numId="2" w16cid:durableId="204484975">
    <w:abstractNumId w:val="3"/>
  </w:num>
  <w:num w:numId="3" w16cid:durableId="1843617773">
    <w:abstractNumId w:val="1"/>
  </w:num>
  <w:num w:numId="4" w16cid:durableId="81167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067C"/>
    <w:rsid w:val="0010067C"/>
    <w:rsid w:val="00CC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6D015-DAC8-43A1-81D1-372CF73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7989">
      <w:marLeft w:val="0"/>
      <w:marRight w:val="0"/>
      <w:marTop w:val="0"/>
      <w:marBottom w:val="510"/>
      <w:divBdr>
        <w:top w:val="none" w:sz="0" w:space="0" w:color="auto"/>
        <w:left w:val="none" w:sz="0" w:space="0" w:color="auto"/>
        <w:bottom w:val="none" w:sz="0" w:space="0" w:color="auto"/>
        <w:right w:val="none" w:sz="0" w:space="0" w:color="auto"/>
      </w:divBdr>
    </w:div>
    <w:div w:id="589198892">
      <w:marLeft w:val="0"/>
      <w:marRight w:val="0"/>
      <w:marTop w:val="0"/>
      <w:marBottom w:val="510"/>
      <w:divBdr>
        <w:top w:val="none" w:sz="0" w:space="0" w:color="auto"/>
        <w:left w:val="none" w:sz="0" w:space="0" w:color="auto"/>
        <w:bottom w:val="none" w:sz="0" w:space="0" w:color="auto"/>
        <w:right w:val="none" w:sz="0" w:space="0" w:color="auto"/>
      </w:divBdr>
    </w:div>
    <w:div w:id="1473255072">
      <w:marLeft w:val="0"/>
      <w:marRight w:val="0"/>
      <w:marTop w:val="0"/>
      <w:marBottom w:val="510"/>
      <w:divBdr>
        <w:top w:val="none" w:sz="0" w:space="0" w:color="auto"/>
        <w:left w:val="none" w:sz="0" w:space="0" w:color="auto"/>
        <w:bottom w:val="none" w:sz="0" w:space="0" w:color="auto"/>
        <w:right w:val="none" w:sz="0" w:space="0" w:color="auto"/>
      </w:divBdr>
    </w:div>
    <w:div w:id="1764296012">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co.co.nz" TargetMode="External"/><Relationship Id="rId3" Type="http://schemas.openxmlformats.org/officeDocument/2006/relationships/settings" Target="settings.xml"/><Relationship Id="rId7" Type="http://schemas.openxmlformats.org/officeDocument/2006/relationships/hyperlink" Target="https://www.bathco.co.nz/warran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co.co.nz/bathrooms/baths/shower-baths/1/?max_price=8000&amp;max_width=3000&amp;ob=new&amp;od=" TargetMode="External"/><Relationship Id="rId11" Type="http://schemas.openxmlformats.org/officeDocument/2006/relationships/fontTable" Target="fontTable.xm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www.bathco.co.nz" TargetMode="External"/><Relationship Id="rId4" Type="http://schemas.openxmlformats.org/officeDocument/2006/relationships/webSettings" Target="webSettings.xml"/><Relationship Id="rId9" Type="http://schemas.openxmlformats.org/officeDocument/2006/relationships/hyperlink" Target="https://www.legislation.govt.nz/act/public/2004/0072/latest/DLM3063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6480</Characters>
  <Application>Microsoft Office Word</Application>
  <DocSecurity>4</DocSecurity>
  <Lines>86</Lines>
  <Paragraphs>17</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VCBC Shower Baths BPIR Summary 1837</dc:title>
  <dc:subject/>
  <dc:creator>CARA-USER</dc:creator>
  <cp:keywords/>
  <dc:description/>
  <cp:lastModifiedBy>CARA-USER</cp:lastModifiedBy>
  <cp:revision>2</cp:revision>
  <dcterms:created xsi:type="dcterms:W3CDTF">2026-04-03T07:20:00Z</dcterms:created>
  <dcterms:modified xsi:type="dcterms:W3CDTF">2026-04-03T07:20:00Z</dcterms:modified>
</cp:coreProperties>
</file>