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DF19C0" w:rsidRDefault="00DF19C0">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DF19C0" w:rsidRDefault="00DF19C0">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DF19C0" w:rsidRDefault="00DF19C0">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DF19C0" w:rsidRDefault="00DF19C0">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DF19C0" w:rsidRDefault="00DF19C0">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DF19C0" w:rsidRDefault="00DF19C0">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DF19C0" w:rsidRDefault="00DF19C0">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DF19C0" w:rsidRDefault="00DF19C0">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DF19C0" w:rsidRDefault="00DF19C0">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DF19C0" w:rsidRDefault="00DF19C0">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SPAX Timber Construction Screws</w:t>
      </w:r>
      <w:r>
        <w:rPr>
          <w:rFonts w:ascii="Cambria" w:eastAsia="Times New Roman" w:hAnsi="Cambria" w:cs="Microsoft Sans Serif"/>
          <w:color w:val="4827EC"/>
          <w:sz w:val="42"/>
          <w:szCs w:val="42"/>
          <w:lang w:val="en"/>
        </w:rPr>
        <w:br/>
        <w:t>BPIR Declaration</w:t>
      </w:r>
    </w:p>
    <w:p w:rsidR="00DF19C0" w:rsidRDefault="00DF19C0">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Construction</w:t>
      </w:r>
    </w:p>
    <w:p w:rsidR="00DF19C0" w:rsidRDefault="00DF19C0">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DF19C0" w:rsidRDefault="00DF19C0">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DF19C0" w:rsidRDefault="00DF19C0">
      <w:pPr>
        <w:pStyle w:val="NormalWeb"/>
        <w:rPr>
          <w:rFonts w:ascii="Microsoft Sans Serif" w:hAnsi="Microsoft Sans Serif" w:cs="Microsoft Sans Serif"/>
          <w:lang w:val="en"/>
        </w:rPr>
      </w:pPr>
      <w:r>
        <w:rPr>
          <w:rFonts w:ascii="Microsoft Sans Serif" w:hAnsi="Microsoft Sans Serif" w:cs="Microsoft Sans Serif"/>
          <w:lang w:val="en"/>
        </w:rPr>
        <w:t>SPAX Pacific Pty Ltd has provided this declaration to satisfy the provisions of Schedule 1(d) of the Building (Building Product Information Requirements) Regulations 2022.</w:t>
      </w:r>
    </w:p>
    <w:p w:rsidR="00DF19C0" w:rsidRDefault="00DF19C0">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Fonts w:ascii="Microsoft Sans Serif" w:eastAsia="Times New Roman" w:hAnsi="Microsoft Sans Serif" w:cs="Microsoft Sans Serif"/>
              </w:rPr>
              <w:t>SPAX Timber Construction Screws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Fonts w:ascii="Microsoft Sans Serif" w:eastAsia="Times New Roman" w:hAnsi="Microsoft Sans Serif" w:cs="Microsoft Sans Serif"/>
              </w:rPr>
              <w:t>SPAX - Timber Construction</w:t>
            </w:r>
          </w:p>
        </w:tc>
      </w:tr>
    </w:tbl>
    <w:p w:rsidR="00DF19C0" w:rsidRDefault="00DF19C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DF19C0" w:rsidRDefault="00DF19C0">
      <w:pPr>
        <w:pStyle w:val="NormalWeb"/>
        <w:rPr>
          <w:rFonts w:ascii="Microsoft Sans Serif" w:hAnsi="Microsoft Sans Serif" w:cs="Microsoft Sans Serif"/>
          <w:lang w:val="en"/>
        </w:rPr>
      </w:pPr>
      <w:r>
        <w:rPr>
          <w:rFonts w:ascii="Microsoft Sans Serif" w:hAnsi="Microsoft Sans Serif" w:cs="Microsoft Sans Serif"/>
          <w:lang w:val="en"/>
        </w:rPr>
        <w:lastRenderedPageBreak/>
        <w:t xml:space="preserve">SPAX timber construction screws are a range of high strength self-tapping screws for use in timber structures. They are available in partial thread or full thread. </w:t>
      </w:r>
    </w:p>
    <w:p w:rsidR="00DF19C0" w:rsidRDefault="00DF19C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Head styles of countersunk, washer head or cylinder head. </w:t>
      </w:r>
    </w:p>
    <w:p w:rsidR="00DF19C0" w:rsidRDefault="00DF19C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Thread diameters range from 6.0mm to 12.0mm. </w:t>
      </w:r>
    </w:p>
    <w:p w:rsidR="00DF19C0" w:rsidRDefault="00DF19C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Lengths range from 40mm to 800mm.</w:t>
      </w:r>
    </w:p>
    <w:p w:rsidR="00DF19C0" w:rsidRDefault="00DF19C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Materials of manufacture are high-carbon steel or stainless steel.</w:t>
      </w:r>
    </w:p>
    <w:p w:rsidR="00DF19C0" w:rsidRDefault="00DF19C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Anti-corrosion coatings are Wirox (zinc) or Delta-Seal.</w:t>
      </w:r>
    </w:p>
    <w:p w:rsidR="00DF19C0" w:rsidRDefault="00DF19C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F19C0" w:rsidRDefault="00DF19C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DF19C0" w:rsidRDefault="00DF19C0">
      <w:pPr>
        <w:pStyle w:val="NormalWeb"/>
        <w:rPr>
          <w:rFonts w:ascii="Microsoft Sans Serif" w:hAnsi="Microsoft Sans Serif" w:cs="Microsoft Sans Serif"/>
          <w:lang w:val="en"/>
        </w:rPr>
      </w:pPr>
      <w:r>
        <w:rPr>
          <w:rFonts w:ascii="Microsoft Sans Serif" w:hAnsi="Microsoft Sans Serif" w:cs="Microsoft Sans Serif"/>
          <w:lang w:val="en"/>
        </w:rPr>
        <w:t>SPAX timber construction screws are intended for use in residential and commercial timber construction to secure various building components such as mass timber flooring, walls, columns and beams as well as frame and truss and other timber components and steel.</w:t>
      </w:r>
    </w:p>
    <w:p w:rsidR="00DF19C0" w:rsidRDefault="00DF19C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F19C0" w:rsidRDefault="00DF19C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DF19C0" w:rsidRDefault="00DF19C0">
      <w:pPr>
        <w:pStyle w:val="NormalWeb"/>
        <w:numPr>
          <w:ilvl w:val="0"/>
          <w:numId w:val="3"/>
        </w:numPr>
        <w:rPr>
          <w:rFonts w:ascii="Microsoft Sans Serif" w:hAnsi="Microsoft Sans Serif" w:cs="Microsoft Sans Serif"/>
          <w:lang w:val="en"/>
        </w:rPr>
      </w:pPr>
      <w:r>
        <w:rPr>
          <w:rFonts w:ascii="Microsoft Sans Serif" w:hAnsi="Microsoft Sans Serif" w:cs="Microsoft Sans Serif"/>
          <w:lang w:val="en"/>
        </w:rPr>
        <w:t>Installation of SPAX products should be carried out by a competent professional, in accordance with any manufacturer's installation instructions provided.</w:t>
      </w:r>
    </w:p>
    <w:p w:rsidR="00DF19C0" w:rsidRDefault="00DF19C0">
      <w:pPr>
        <w:pStyle w:val="NormalWeb"/>
        <w:numPr>
          <w:ilvl w:val="0"/>
          <w:numId w:val="3"/>
        </w:numPr>
        <w:rPr>
          <w:rFonts w:ascii="Microsoft Sans Serif" w:hAnsi="Microsoft Sans Serif" w:cs="Microsoft Sans Serif"/>
          <w:lang w:val="en"/>
        </w:rPr>
      </w:pPr>
      <w:r>
        <w:rPr>
          <w:rFonts w:ascii="Microsoft Sans Serif" w:hAnsi="Microsoft Sans Serif" w:cs="Microsoft Sans Serif"/>
          <w:lang w:val="en"/>
        </w:rPr>
        <w:t>Installation in hardwood and LVL requires pre-drilling before the screw is installed. Drill bit diameters are provided in the "Pre-drilling Guidelines", the SPAX "Connection Design According to NZS 3603" or the "SPAX European Technical Assessment ETA 12/0114".</w:t>
      </w:r>
    </w:p>
    <w:p w:rsidR="00DF19C0" w:rsidRDefault="00DF19C0">
      <w:pPr>
        <w:pStyle w:val="NormalWeb"/>
        <w:numPr>
          <w:ilvl w:val="0"/>
          <w:numId w:val="3"/>
        </w:numPr>
        <w:rPr>
          <w:rFonts w:ascii="Microsoft Sans Serif" w:hAnsi="Microsoft Sans Serif" w:cs="Microsoft Sans Serif"/>
          <w:lang w:val="en"/>
        </w:rPr>
      </w:pPr>
      <w:r>
        <w:rPr>
          <w:rFonts w:ascii="Microsoft Sans Serif" w:hAnsi="Microsoft Sans Serif" w:cs="Microsoft Sans Serif"/>
          <w:lang w:val="en"/>
        </w:rPr>
        <w:t>SPAX DELTA-SEAL coated or stainless steel screws should be used in timbers treated to H3.2 treatment or above.</w:t>
      </w:r>
    </w:p>
    <w:p w:rsidR="00DF19C0" w:rsidRDefault="00DF19C0">
      <w:pPr>
        <w:pStyle w:val="NormalWeb"/>
        <w:numPr>
          <w:ilvl w:val="0"/>
          <w:numId w:val="3"/>
        </w:numPr>
        <w:rPr>
          <w:rFonts w:ascii="Microsoft Sans Serif" w:hAnsi="Microsoft Sans Serif" w:cs="Microsoft Sans Serif"/>
          <w:lang w:val="en"/>
        </w:rPr>
      </w:pPr>
      <w:r>
        <w:rPr>
          <w:rFonts w:ascii="Microsoft Sans Serif" w:hAnsi="Microsoft Sans Serif" w:cs="Microsoft Sans Serif"/>
          <w:lang w:val="en"/>
        </w:rPr>
        <w:t>SPAX screws must be designed in accordance with one or more of the following documents:</w:t>
      </w:r>
    </w:p>
    <w:p w:rsidR="00DF19C0" w:rsidRDefault="00DF19C0">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SPAX Design Guidelines</w:t>
      </w:r>
    </w:p>
    <w:p w:rsidR="00DF19C0" w:rsidRDefault="00DF19C0">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SPAX Connection Design According to NZS 3603</w:t>
      </w:r>
    </w:p>
    <w:p w:rsidR="00DF19C0" w:rsidRDefault="00DF19C0">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SPAX European Technical Assessment ETA 12/0114</w:t>
      </w:r>
    </w:p>
    <w:p w:rsidR="00DF19C0" w:rsidRDefault="00DF19C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F19C0" w:rsidRDefault="00DF19C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DF19C0" w:rsidRDefault="00DF19C0">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B1 Structure</w:t>
      </w:r>
      <w:r>
        <w:rPr>
          <w:rFonts w:ascii="Microsoft Sans Serif" w:hAnsi="Microsoft Sans Serif" w:cs="Microsoft Sans Serif"/>
          <w:lang w:val="en"/>
        </w:rPr>
        <w:t xml:space="preserve"> — B1.3.1, B1.3.2, B1.3.3 (b, d, e, f, g, h, j, q), B1.3.4</w:t>
      </w:r>
    </w:p>
    <w:p w:rsidR="00DF19C0" w:rsidRDefault="00DF19C0">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(a)</w:t>
      </w:r>
    </w:p>
    <w:p w:rsidR="00DF19C0" w:rsidRDefault="00DF19C0">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DF19C0" w:rsidRDefault="00DF19C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F19C0" w:rsidRDefault="00DF19C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DF19C0" w:rsidRDefault="00DF19C0">
      <w:pPr>
        <w:pStyle w:val="NormalWeb"/>
        <w:numPr>
          <w:ilvl w:val="0"/>
          <w:numId w:val="4"/>
        </w:numPr>
        <w:rPr>
          <w:rFonts w:ascii="Microsoft Sans Serif" w:hAnsi="Microsoft Sans Serif" w:cs="Microsoft Sans Serif"/>
          <w:lang w:val="en"/>
        </w:rPr>
      </w:pPr>
      <w:r>
        <w:rPr>
          <w:rFonts w:ascii="Microsoft Sans Serif" w:hAnsi="Microsoft Sans Serif" w:cs="Microsoft Sans Serif"/>
          <w:lang w:val="en"/>
        </w:rPr>
        <w:t>B1: Compliance with B1 Structure depends on design by the designer (consulting structural engineer or architect) where structural capacity of the screws exceeds the actual loads applied. The design of the screw connections shall be based on the characteristic load-carrying capacities of the screws. The design capacities shall be derived from the characteristic capacities in accordance with the SPAX Design Guide to ETA and EC5, NZS 3603 or AS/NZS 1720.</w:t>
      </w:r>
    </w:p>
    <w:p w:rsidR="00DF19C0" w:rsidRDefault="00DF19C0">
      <w:pPr>
        <w:pStyle w:val="NormalWeb"/>
        <w:numPr>
          <w:ilvl w:val="0"/>
          <w:numId w:val="4"/>
        </w:numPr>
        <w:rPr>
          <w:rFonts w:ascii="Microsoft Sans Serif" w:hAnsi="Microsoft Sans Serif" w:cs="Microsoft Sans Serif"/>
          <w:lang w:val="en"/>
        </w:rPr>
      </w:pPr>
      <w:r>
        <w:rPr>
          <w:rFonts w:ascii="Microsoft Sans Serif" w:hAnsi="Microsoft Sans Serif" w:cs="Microsoft Sans Serif"/>
          <w:lang w:val="en"/>
        </w:rPr>
        <w:t>B2.3.1: SPAX screws are available with WIROX coating, DELTA-SEAL coating or stainless steel to suit the various durability requirements of the building. WIROX is sutable for indoor environments only. DELTA-SEAL coating is suitable for outdoor environments which are not directly exposed to salt water and also for use in CCA, ACQ and LOSP treated timbers. Stainless steel is suitable for use in more corrosive environments including where exposed to salt water.</w:t>
      </w:r>
    </w:p>
    <w:p w:rsidR="00DF19C0" w:rsidRDefault="00DF19C0">
      <w:pPr>
        <w:pStyle w:val="NormalWeb"/>
        <w:rPr>
          <w:rFonts w:ascii="Microsoft Sans Serif" w:hAnsi="Microsoft Sans Serif" w:cs="Microsoft Sans Serif"/>
          <w:lang w:val="en"/>
        </w:rPr>
      </w:pPr>
      <w:r>
        <w:rPr>
          <w:rFonts w:ascii="Microsoft Sans Serif" w:hAnsi="Microsoft Sans Serif" w:cs="Microsoft Sans Serif"/>
          <w:lang w:val="en"/>
        </w:rPr>
        <w:t>The most suitable coating or material for the required durability in the surrounding environment of the application is to be determined by the designer. Further information can be found in the SPAX European Technical Assessment ETA 12/0114 and on the SPAX Pacific website.</w:t>
      </w:r>
    </w:p>
    <w:p w:rsidR="00DF19C0" w:rsidRDefault="00DF19C0">
      <w:pPr>
        <w:numPr>
          <w:ilvl w:val="0"/>
          <w:numId w:val="5"/>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F2: Not applicable</w:t>
      </w:r>
    </w:p>
    <w:p w:rsidR="00DF19C0" w:rsidRDefault="00DF19C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F19C0" w:rsidRDefault="00DF19C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DF19C0" w:rsidRDefault="00DF19C0">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2027"/>
        <w:gridCol w:w="4249"/>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Style w:val="Strong"/>
                <w:rFonts w:ascii="Microsoft Sans Serif" w:eastAsia="Times New Roman" w:hAnsi="Microsoft Sans Serif" w:cs="Microsoft Sans Serif"/>
              </w:rPr>
              <w:t>SPAX Design Documents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Fonts w:ascii="Microsoft Sans Serif" w:eastAsia="Times New Roman" w:hAnsi="Microsoft Sans Serif" w:cs="Microsoft Sans Serif"/>
              </w:rPr>
              <w:t>September 2023</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F19C0" w:rsidRDefault="00DF19C0">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https://www.spaxpacific.com/documents</w:t>
              </w:r>
            </w:hyperlink>
          </w:p>
        </w:tc>
      </w:tr>
    </w:tbl>
    <w:p w:rsidR="00DF19C0" w:rsidRDefault="00DF19C0">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SPAX Timber Construction Screws claims refer to our website.</w:t>
      </w:r>
    </w:p>
    <w:p w:rsidR="00DF19C0" w:rsidRDefault="00DF19C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F19C0" w:rsidRDefault="00DF19C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691"/>
        <w:gridCol w:w="4275"/>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F19C0" w:rsidRDefault="00DF19C0">
            <w:pPr>
              <w:wordWrap w:val="0"/>
              <w:rPr>
                <w:rFonts w:ascii="Microsoft Sans Serif" w:eastAsia="Times New Roman" w:hAnsi="Microsoft Sans Serif" w:cs="Microsoft Sans Serif"/>
              </w:rPr>
            </w:pPr>
            <w:r>
              <w:rPr>
                <w:rFonts w:ascii="Microsoft Sans Serif" w:eastAsia="Times New Roman" w:hAnsi="Microsoft Sans Serif" w:cs="Microsoft Sans Serif"/>
              </w:rPr>
              <w:t>SPAX International GmbH &amp; Co. KG</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F19C0" w:rsidRDefault="00DF19C0">
            <w:pPr>
              <w:wordWrap w:val="0"/>
              <w:rPr>
                <w:rFonts w:ascii="Microsoft Sans Serif" w:eastAsia="Times New Roman" w:hAnsi="Microsoft Sans Serif" w:cs="Microsoft Sans Serif"/>
              </w:rPr>
            </w:pPr>
            <w:r>
              <w:rPr>
                <w:rFonts w:ascii="Microsoft Sans Serif" w:eastAsia="Times New Roman" w:hAnsi="Microsoft Sans Serif" w:cs="Microsoft Sans Serif"/>
              </w:rPr>
              <w:t>SPAX Pacific Pty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F19C0" w:rsidRDefault="00DF19C0">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2/12 Marphona Cres </w:t>
            </w:r>
            <w:r>
              <w:rPr>
                <w:rFonts w:ascii="Microsoft Sans Serif" w:eastAsia="Times New Roman" w:hAnsi="Microsoft Sans Serif" w:cs="Microsoft Sans Serif"/>
              </w:rPr>
              <w:br/>
              <w:t>Takanini, Auckland 2105</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F19C0" w:rsidRDefault="00DF19C0">
            <w:pPr>
              <w:wordWrap w:val="0"/>
              <w:rPr>
                <w:rFonts w:ascii="Microsoft Sans Serif" w:eastAsia="Times New Roman" w:hAnsi="Microsoft Sans Serif" w:cs="Microsoft Sans Serif"/>
              </w:rPr>
            </w:pPr>
            <w:hyperlink r:id="rId7" w:history="1">
              <w:r>
                <w:rPr>
                  <w:rStyle w:val="Hyperlink"/>
                  <w:rFonts w:ascii="Microsoft Sans Serif" w:eastAsia="Times New Roman" w:hAnsi="Microsoft Sans Serif" w:cs="Microsoft Sans Serif"/>
                </w:rPr>
                <w:t>www.spaxpacific.com</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F19C0" w:rsidRDefault="00DF19C0">
            <w:pPr>
              <w:wordWrap w:val="0"/>
              <w:rPr>
                <w:rFonts w:ascii="Microsoft Sans Serif" w:eastAsia="Times New Roman" w:hAnsi="Microsoft Sans Serif" w:cs="Microsoft Sans Serif"/>
              </w:rPr>
            </w:pPr>
            <w:r>
              <w:rPr>
                <w:rFonts w:ascii="Microsoft Sans Serif" w:eastAsia="Times New Roman" w:hAnsi="Microsoft Sans Serif" w:cs="Microsoft Sans Serif"/>
              </w:rPr>
              <w:t>112 113 932</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F19C0" w:rsidRDefault="00DF19C0">
            <w:pPr>
              <w:wordWrap w:val="0"/>
              <w:rPr>
                <w:rFonts w:ascii="Microsoft Sans Serif" w:eastAsia="Times New Roman" w:hAnsi="Microsoft Sans Serif" w:cs="Microsoft Sans Serif"/>
              </w:rPr>
            </w:pPr>
            <w:r>
              <w:rPr>
                <w:rFonts w:ascii="Microsoft Sans Serif" w:eastAsia="Times New Roman" w:hAnsi="Microsoft Sans Serif" w:cs="Microsoft Sans Serif"/>
              </w:rPr>
              <w:t>info@spaxpacific.co.nz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DF19C0" w:rsidRDefault="00DF19C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DF19C0" w:rsidRDefault="00DF19C0">
            <w:pPr>
              <w:wordWrap w:val="0"/>
              <w:rPr>
                <w:rFonts w:ascii="Microsoft Sans Serif" w:eastAsia="Times New Roman" w:hAnsi="Microsoft Sans Serif" w:cs="Microsoft Sans Serif"/>
              </w:rPr>
            </w:pPr>
            <w:r>
              <w:rPr>
                <w:rFonts w:ascii="Microsoft Sans Serif" w:eastAsia="Times New Roman" w:hAnsi="Microsoft Sans Serif" w:cs="Microsoft Sans Serif"/>
              </w:rPr>
              <w:t>09 570 7447</w:t>
            </w:r>
          </w:p>
        </w:tc>
      </w:tr>
    </w:tbl>
    <w:p w:rsidR="00DF19C0" w:rsidRDefault="00DF19C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F19C0" w:rsidRDefault="00DF19C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DF19C0" w:rsidRDefault="00DF19C0">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DF19C0" w:rsidRDefault="00DF19C0">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SPAX Timber Construction Screws is not subject to a warning on ban under </w:t>
      </w:r>
      <w:hyperlink r:id="rId8"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DF19C0" w:rsidRDefault="00DF19C0">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SPAX Pacific Pty Ltd:</w:t>
      </w:r>
    </w:p>
    <w:p w:rsidR="00DF19C0" w:rsidRDefault="00DF19C0">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DF19C0" w:rsidRDefault="00DF19C0">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DF19C0" w:rsidRDefault="00DF19C0">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SPAX Pacific Pty Ltd</w:t>
      </w:r>
      <w:r>
        <w:rPr>
          <w:rFonts w:ascii="Microsoft Sans Serif" w:hAnsi="Microsoft Sans Serif" w:cs="Microsoft Sans Serif"/>
          <w:sz w:val="20"/>
          <w:szCs w:val="20"/>
          <w:lang w:val="en"/>
        </w:rPr>
        <w:br/>
        <w:t>2/12 Marphona Cres Takanini, Auckland 2105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09 570 7447 | </w:t>
      </w:r>
      <w:hyperlink r:id="rId9" w:tgtFrame="_blank" w:history="1">
        <w:r>
          <w:rPr>
            <w:rStyle w:val="Hyperlink"/>
            <w:rFonts w:ascii="Microsoft Sans Serif" w:hAnsi="Microsoft Sans Serif" w:cs="Microsoft Sans Serif"/>
            <w:sz w:val="20"/>
            <w:szCs w:val="20"/>
            <w:lang w:val="en"/>
          </w:rPr>
          <w:t>www.spaxpacific.com</w:t>
        </w:r>
      </w:hyperlink>
      <w:r>
        <w:rPr>
          <w:rFonts w:ascii="Microsoft Sans Serif" w:hAnsi="Microsoft Sans Serif" w:cs="Microsoft Sans Serif"/>
          <w:sz w:val="20"/>
          <w:szCs w:val="20"/>
          <w:lang w:val="en"/>
        </w:rPr>
        <w:t xml:space="preserve"> </w:t>
      </w:r>
    </w:p>
    <w:p w:rsidR="00DF19C0" w:rsidRDefault="00DF19C0">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DF19C0" w:rsidRDefault="00DF19C0">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DF19C0" w:rsidRDefault="00DF19C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F19C0" w:rsidRDefault="00DF19C0">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DF19C0" w:rsidRDefault="00DF19C0">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Fixings and fasteners</w:t>
      </w:r>
    </w:p>
    <w:p w:rsidR="00DF19C0" w:rsidRDefault="00DF19C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DF19C0" w:rsidRDefault="00DF19C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DF19C0" w:rsidRDefault="00DF19C0">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B1 Structure</w:t>
      </w:r>
    </w:p>
    <w:p w:rsidR="00DF19C0" w:rsidRDefault="00DF19C0">
      <w:pPr>
        <w:pStyle w:val="NormalWeb"/>
        <w:divId w:val="1342315691"/>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B1.3.1</w:t>
      </w:r>
    </w:p>
    <w:p w:rsidR="00DF19C0" w:rsidRDefault="00DF19C0">
      <w:pPr>
        <w:pStyle w:val="NormalWeb"/>
        <w:divId w:val="1342315691"/>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w:t>
      </w:r>
      <w:r>
        <w:rPr>
          <w:rFonts w:ascii="Microsoft Sans Serif" w:hAnsi="Microsoft Sans Serif" w:cs="Microsoft Sans Serif"/>
          <w:sz w:val="20"/>
          <w:szCs w:val="20"/>
          <w:lang w:val="en"/>
        </w:rPr>
        <w:t>shall have a low probability of rupturing, becoming unstable, losing equilibrium, or collapsing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and throughout their lives.</w:t>
      </w:r>
    </w:p>
    <w:p w:rsidR="00DF19C0" w:rsidRDefault="00DF19C0">
      <w:pPr>
        <w:pStyle w:val="NormalWeb"/>
        <w:divId w:val="1321888901"/>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B1.3.2</w:t>
      </w:r>
    </w:p>
    <w:p w:rsidR="00DF19C0" w:rsidRDefault="00DF19C0">
      <w:pPr>
        <w:pStyle w:val="NormalWeb"/>
        <w:divId w:val="1321888901"/>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shall have a low probability of causing loss of amenity through undue deformation, vibratory response, degradation, or other physical characteristics throughout their lives, or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when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xml:space="preserve"> is in use.</w:t>
      </w:r>
    </w:p>
    <w:p w:rsidR="00DF19C0" w:rsidRDefault="00DF19C0">
      <w:pPr>
        <w:pStyle w:val="NormalWeb"/>
        <w:divId w:val="1481507269"/>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B1.3.3</w:t>
      </w:r>
    </w:p>
    <w:p w:rsidR="00DF19C0" w:rsidRDefault="00DF19C0">
      <w:pPr>
        <w:pStyle w:val="NormalWeb"/>
        <w:divId w:val="1481507269"/>
        <w:rPr>
          <w:rFonts w:ascii="Microsoft Sans Serif" w:hAnsi="Microsoft Sans Serif" w:cs="Microsoft Sans Serif"/>
          <w:sz w:val="20"/>
          <w:szCs w:val="20"/>
          <w:lang w:val="en"/>
        </w:rPr>
      </w:pPr>
      <w:r>
        <w:rPr>
          <w:rFonts w:ascii="Microsoft Sans Serif" w:hAnsi="Microsoft Sans Serif" w:cs="Microsoft Sans Serif"/>
          <w:sz w:val="20"/>
          <w:szCs w:val="20"/>
          <w:lang w:val="en"/>
        </w:rPr>
        <w:t>Account shall be taken of all physical conditions likely to affect the stability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including:</w:t>
      </w:r>
    </w:p>
    <w:p w:rsidR="00DF19C0" w:rsidRDefault="00DF19C0">
      <w:pPr>
        <w:numPr>
          <w:ilvl w:val="0"/>
          <w:numId w:val="6"/>
        </w:numPr>
        <w:spacing w:before="100" w:beforeAutospacing="1" w:after="100" w:afterAutospacing="1"/>
        <w:divId w:val="148150726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imposed gravity loads arising from use</w:t>
      </w:r>
    </w:p>
    <w:p w:rsidR="00DF19C0" w:rsidRDefault="00DF19C0">
      <w:pPr>
        <w:numPr>
          <w:ilvl w:val="0"/>
          <w:numId w:val="6"/>
        </w:numPr>
        <w:spacing w:before="100" w:beforeAutospacing="1" w:after="100" w:afterAutospacing="1"/>
        <w:divId w:val="148150726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(d) earth pressure</w:t>
      </w:r>
    </w:p>
    <w:p w:rsidR="00DF19C0" w:rsidRDefault="00DF19C0">
      <w:pPr>
        <w:numPr>
          <w:ilvl w:val="0"/>
          <w:numId w:val="6"/>
        </w:numPr>
        <w:spacing w:before="100" w:beforeAutospacing="1" w:after="100" w:afterAutospacing="1"/>
        <w:divId w:val="148150726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(e) water and other liquids</w:t>
      </w:r>
    </w:p>
    <w:p w:rsidR="00DF19C0" w:rsidRDefault="00DF19C0">
      <w:pPr>
        <w:numPr>
          <w:ilvl w:val="0"/>
          <w:numId w:val="6"/>
        </w:numPr>
        <w:spacing w:before="100" w:beforeAutospacing="1" w:after="100" w:afterAutospacing="1"/>
        <w:divId w:val="148150726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 earthquake</w:t>
      </w:r>
    </w:p>
    <w:p w:rsidR="00DF19C0" w:rsidRDefault="00DF19C0">
      <w:pPr>
        <w:numPr>
          <w:ilvl w:val="0"/>
          <w:numId w:val="6"/>
        </w:numPr>
        <w:spacing w:before="100" w:beforeAutospacing="1" w:after="100" w:afterAutospacing="1"/>
        <w:divId w:val="148150726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(g) snow</w:t>
      </w:r>
    </w:p>
    <w:p w:rsidR="00DF19C0" w:rsidRDefault="00DF19C0">
      <w:pPr>
        <w:numPr>
          <w:ilvl w:val="0"/>
          <w:numId w:val="6"/>
        </w:numPr>
        <w:spacing w:before="100" w:beforeAutospacing="1" w:after="100" w:afterAutospacing="1"/>
        <w:divId w:val="148150726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(h) wind</w:t>
      </w:r>
    </w:p>
    <w:p w:rsidR="00DF19C0" w:rsidRDefault="00DF19C0">
      <w:pPr>
        <w:numPr>
          <w:ilvl w:val="0"/>
          <w:numId w:val="6"/>
        </w:numPr>
        <w:spacing w:before="100" w:beforeAutospacing="1" w:after="100" w:afterAutospacing="1"/>
        <w:divId w:val="148150726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(j) impact</w:t>
      </w:r>
    </w:p>
    <w:p w:rsidR="00DF19C0" w:rsidRDefault="00DF19C0">
      <w:pPr>
        <w:numPr>
          <w:ilvl w:val="0"/>
          <w:numId w:val="6"/>
        </w:numPr>
        <w:spacing w:before="100" w:beforeAutospacing="1" w:after="100" w:afterAutospacing="1"/>
        <w:divId w:val="148150726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(q) time dependent effects including creep and shrinkage</w:t>
      </w:r>
    </w:p>
    <w:p w:rsidR="00DF19C0" w:rsidRDefault="00DF19C0">
      <w:pPr>
        <w:pStyle w:val="NormalWeb"/>
        <w:divId w:val="445779030"/>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B1.3.4</w:t>
      </w:r>
    </w:p>
    <w:p w:rsidR="00DF19C0" w:rsidRDefault="00DF19C0">
      <w:pPr>
        <w:pStyle w:val="NormalWeb"/>
        <w:divId w:val="445779030"/>
        <w:rPr>
          <w:rFonts w:ascii="Microsoft Sans Serif" w:hAnsi="Microsoft Sans Serif" w:cs="Microsoft Sans Serif"/>
          <w:sz w:val="20"/>
          <w:szCs w:val="20"/>
          <w:lang w:val="en"/>
        </w:rPr>
      </w:pPr>
      <w:r>
        <w:rPr>
          <w:rFonts w:ascii="Microsoft Sans Serif" w:hAnsi="Microsoft Sans Serif" w:cs="Microsoft Sans Serif"/>
          <w:sz w:val="20"/>
          <w:szCs w:val="20"/>
          <w:lang w:val="en"/>
        </w:rPr>
        <w:t>Due allowances shall be made for:</w:t>
      </w:r>
    </w:p>
    <w:p w:rsidR="00DF19C0" w:rsidRDefault="00DF19C0">
      <w:pPr>
        <w:numPr>
          <w:ilvl w:val="0"/>
          <w:numId w:val="7"/>
        </w:numPr>
        <w:spacing w:before="100" w:beforeAutospacing="1" w:after="100" w:afterAutospacing="1"/>
        <w:divId w:val="44577903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consequences of failure,</w:t>
      </w:r>
    </w:p>
    <w:p w:rsidR="00DF19C0" w:rsidRDefault="00DF19C0">
      <w:pPr>
        <w:numPr>
          <w:ilvl w:val="0"/>
          <w:numId w:val="7"/>
        </w:numPr>
        <w:spacing w:before="100" w:beforeAutospacing="1" w:after="100" w:afterAutospacing="1"/>
        <w:divId w:val="44577903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intended use of the</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w:t>
      </w:r>
      <w:r>
        <w:rPr>
          <w:rStyle w:val="tooltip-trigger"/>
          <w:rFonts w:ascii="Microsoft Sans Serif" w:eastAsia="Times New Roman" w:hAnsi="Microsoft Sans Serif" w:cs="Microsoft Sans Serif"/>
          <w:i/>
          <w:iCs/>
          <w:sz w:val="20"/>
          <w:szCs w:val="20"/>
          <w:lang w:val="en"/>
        </w:rPr>
        <w:t>g</w:t>
      </w:r>
      <w:r>
        <w:rPr>
          <w:rFonts w:ascii="Microsoft Sans Serif" w:eastAsia="Times New Roman" w:hAnsi="Microsoft Sans Serif" w:cs="Microsoft Sans Serif"/>
          <w:sz w:val="20"/>
          <w:szCs w:val="20"/>
          <w:lang w:val="en"/>
        </w:rPr>
        <w:t>,</w:t>
      </w:r>
    </w:p>
    <w:p w:rsidR="00DF19C0" w:rsidRDefault="00DF19C0">
      <w:pPr>
        <w:numPr>
          <w:ilvl w:val="0"/>
          <w:numId w:val="7"/>
        </w:numPr>
        <w:spacing w:before="100" w:beforeAutospacing="1" w:after="100" w:afterAutospacing="1"/>
        <w:divId w:val="44577903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effects of uncertainties resulting from</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activities, or the sequence in which</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activities occur,</w:t>
      </w:r>
    </w:p>
    <w:p w:rsidR="00DF19C0" w:rsidRDefault="00DF19C0">
      <w:pPr>
        <w:numPr>
          <w:ilvl w:val="0"/>
          <w:numId w:val="7"/>
        </w:numPr>
        <w:spacing w:before="100" w:beforeAutospacing="1" w:after="100" w:afterAutospacing="1"/>
        <w:divId w:val="44577903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variation in the properties of materials and the characteristics of the site, and</w:t>
      </w:r>
    </w:p>
    <w:p w:rsidR="00DF19C0" w:rsidRDefault="00DF19C0">
      <w:pPr>
        <w:numPr>
          <w:ilvl w:val="0"/>
          <w:numId w:val="7"/>
        </w:numPr>
        <w:spacing w:before="100" w:beforeAutospacing="1" w:after="100" w:afterAutospacing="1"/>
        <w:divId w:val="44577903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accuracy limitations inherent in the methods used to predict the stability of</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building</w:t>
      </w:r>
      <w:r>
        <w:rPr>
          <w:rStyle w:val="tooltip-trigger"/>
          <w:rFonts w:ascii="Microsoft Sans Serif" w:eastAsia="Times New Roman" w:hAnsi="Microsoft Sans Serif" w:cs="Microsoft Sans Serif"/>
          <w:i/>
          <w:iCs/>
          <w:sz w:val="20"/>
          <w:szCs w:val="20"/>
          <w:lang w:val="en"/>
        </w:rPr>
        <w:t>s</w:t>
      </w:r>
    </w:p>
    <w:p w:rsidR="00DF19C0" w:rsidRDefault="00DF19C0">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DF19C0" w:rsidRDefault="00DF19C0">
      <w:pPr>
        <w:pStyle w:val="NormalWeb"/>
        <w:divId w:val="1692685009"/>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DF19C0" w:rsidRDefault="00DF19C0">
      <w:pPr>
        <w:pStyle w:val="NormalWeb"/>
        <w:divId w:val="1692685009"/>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DF19C0" w:rsidRDefault="00DF19C0">
      <w:pPr>
        <w:numPr>
          <w:ilvl w:val="0"/>
          <w:numId w:val="8"/>
        </w:numPr>
        <w:spacing w:before="100" w:beforeAutospacing="1" w:after="100" w:afterAutospacing="1"/>
        <w:divId w:val="1692685009"/>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 the life of the building, being not less than 50 years, if: those building elements (including floors, walls, and fixings) provide structural stability to the building, or those building elements are difficult to access or replace, or failure of those building elements to comply with the building code would go undetected during both normal use and maintenance of the building</w:t>
      </w:r>
    </w:p>
    <w:p w:rsidR="00DF19C0" w:rsidRDefault="00DF19C0">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DF19C0" w:rsidRDefault="00DF19C0">
      <w:pPr>
        <w:pStyle w:val="NormalWeb"/>
        <w:divId w:val="1067343836"/>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DF19C0" w:rsidRDefault="00DF19C0">
      <w:pPr>
        <w:pStyle w:val="NormalWeb"/>
        <w:divId w:val="1067343836"/>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463A"/>
    <w:multiLevelType w:val="multilevel"/>
    <w:tmpl w:val="CE30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EB44C4"/>
    <w:multiLevelType w:val="multilevel"/>
    <w:tmpl w:val="CB88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085AC0"/>
    <w:multiLevelType w:val="multilevel"/>
    <w:tmpl w:val="71DE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41566B"/>
    <w:multiLevelType w:val="multilevel"/>
    <w:tmpl w:val="4068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95D3F"/>
    <w:multiLevelType w:val="multilevel"/>
    <w:tmpl w:val="144E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87664"/>
    <w:multiLevelType w:val="multilevel"/>
    <w:tmpl w:val="4D7262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D91DF0"/>
    <w:multiLevelType w:val="multilevel"/>
    <w:tmpl w:val="5A1079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FEB202B"/>
    <w:multiLevelType w:val="multilevel"/>
    <w:tmpl w:val="9094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455926">
    <w:abstractNumId w:val="5"/>
  </w:num>
  <w:num w:numId="2" w16cid:durableId="1371957305">
    <w:abstractNumId w:val="7"/>
  </w:num>
  <w:num w:numId="3" w16cid:durableId="746805834">
    <w:abstractNumId w:val="1"/>
  </w:num>
  <w:num w:numId="4" w16cid:durableId="2050907606">
    <w:abstractNumId w:val="0"/>
  </w:num>
  <w:num w:numId="5" w16cid:durableId="1556040478">
    <w:abstractNumId w:val="2"/>
  </w:num>
  <w:num w:numId="6" w16cid:durableId="419788719">
    <w:abstractNumId w:val="4"/>
  </w:num>
  <w:num w:numId="7" w16cid:durableId="13270832">
    <w:abstractNumId w:val="6"/>
  </w:num>
  <w:num w:numId="8" w16cid:durableId="4406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F19C0"/>
    <w:rsid w:val="00AC3D5E"/>
    <w:rsid w:val="00DF1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331A7-1102-4CF6-9AEF-B875FBD3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79030">
      <w:marLeft w:val="0"/>
      <w:marRight w:val="0"/>
      <w:marTop w:val="0"/>
      <w:marBottom w:val="510"/>
      <w:divBdr>
        <w:top w:val="none" w:sz="0" w:space="0" w:color="auto"/>
        <w:left w:val="none" w:sz="0" w:space="0" w:color="auto"/>
        <w:bottom w:val="none" w:sz="0" w:space="0" w:color="auto"/>
        <w:right w:val="none" w:sz="0" w:space="0" w:color="auto"/>
      </w:divBdr>
    </w:div>
    <w:div w:id="1067343836">
      <w:marLeft w:val="0"/>
      <w:marRight w:val="0"/>
      <w:marTop w:val="0"/>
      <w:marBottom w:val="510"/>
      <w:divBdr>
        <w:top w:val="none" w:sz="0" w:space="0" w:color="auto"/>
        <w:left w:val="none" w:sz="0" w:space="0" w:color="auto"/>
        <w:bottom w:val="none" w:sz="0" w:space="0" w:color="auto"/>
        <w:right w:val="none" w:sz="0" w:space="0" w:color="auto"/>
      </w:divBdr>
    </w:div>
    <w:div w:id="1321888901">
      <w:marLeft w:val="0"/>
      <w:marRight w:val="0"/>
      <w:marTop w:val="0"/>
      <w:marBottom w:val="510"/>
      <w:divBdr>
        <w:top w:val="none" w:sz="0" w:space="0" w:color="auto"/>
        <w:left w:val="none" w:sz="0" w:space="0" w:color="auto"/>
        <w:bottom w:val="none" w:sz="0" w:space="0" w:color="auto"/>
        <w:right w:val="none" w:sz="0" w:space="0" w:color="auto"/>
      </w:divBdr>
    </w:div>
    <w:div w:id="1342315691">
      <w:marLeft w:val="0"/>
      <w:marRight w:val="0"/>
      <w:marTop w:val="0"/>
      <w:marBottom w:val="510"/>
      <w:divBdr>
        <w:top w:val="none" w:sz="0" w:space="0" w:color="auto"/>
        <w:left w:val="none" w:sz="0" w:space="0" w:color="auto"/>
        <w:bottom w:val="none" w:sz="0" w:space="0" w:color="auto"/>
        <w:right w:val="none" w:sz="0" w:space="0" w:color="auto"/>
      </w:divBdr>
    </w:div>
    <w:div w:id="1481507269">
      <w:marLeft w:val="0"/>
      <w:marRight w:val="0"/>
      <w:marTop w:val="0"/>
      <w:marBottom w:val="510"/>
      <w:divBdr>
        <w:top w:val="none" w:sz="0" w:space="0" w:color="auto"/>
        <w:left w:val="none" w:sz="0" w:space="0" w:color="auto"/>
        <w:bottom w:val="none" w:sz="0" w:space="0" w:color="auto"/>
        <w:right w:val="none" w:sz="0" w:space="0" w:color="auto"/>
      </w:divBdr>
    </w:div>
    <w:div w:id="1692685009">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2004/0072/latest/DLM306353.html" TargetMode="External"/><Relationship Id="rId3" Type="http://schemas.openxmlformats.org/officeDocument/2006/relationships/settings" Target="settings.xml"/><Relationship Id="rId7" Type="http://schemas.openxmlformats.org/officeDocument/2006/relationships/hyperlink" Target="http://www.spaxpacif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axpacific.com/documents" TargetMode="External"/><Relationship Id="rId11" Type="http://schemas.openxmlformats.org/officeDocument/2006/relationships/theme" Target="theme/theme1.xml"/><Relationship Id="rId5" Type="http://schemas.openxmlformats.org/officeDocument/2006/relationships/hyperlink" Target="https://bpir.nz/bpir-regulations-and-requirements/disclosure-inform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axpacif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1290</Words>
  <Characters>6966</Characters>
  <Application>Microsoft Office Word</Application>
  <DocSecurity>4</DocSecurity>
  <Lines>258</Lines>
  <Paragraphs>294</Paragraphs>
  <ScaleCrop>false</ScaleCrop>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SPAX Timber Construction Screws BPIR Summary 136</dc:title>
  <dc:subject/>
  <dc:creator>CARA-USER</dc:creator>
  <cp:keywords/>
  <dc:description/>
  <cp:lastModifiedBy>CARA-USER</cp:lastModifiedBy>
  <cp:revision>2</cp:revision>
  <dcterms:created xsi:type="dcterms:W3CDTF">2026-04-03T23:34:00Z</dcterms:created>
  <dcterms:modified xsi:type="dcterms:W3CDTF">2026-04-03T23:34:00Z</dcterms:modified>
</cp:coreProperties>
</file>