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D125EF" w:rsidRDefault="00D125EF">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D125EF" w:rsidRDefault="00D125EF">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D125EF" w:rsidRDefault="00D125EF">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D125EF" w:rsidRDefault="00D125EF">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D125EF" w:rsidRDefault="00D125EF">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D125EF" w:rsidRDefault="00D125EF">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D125EF" w:rsidRDefault="00D125EF">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D125EF" w:rsidRDefault="00D125EF">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D125EF" w:rsidRDefault="00D125EF">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D125EF" w:rsidRDefault="00D125EF">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Channel drains</w:t>
      </w:r>
      <w:r>
        <w:rPr>
          <w:rFonts w:ascii="Cambria" w:eastAsia="Times New Roman" w:hAnsi="Cambria" w:cs="Microsoft Sans Serif"/>
          <w:color w:val="4827EC"/>
          <w:sz w:val="42"/>
          <w:szCs w:val="42"/>
          <w:lang w:val="en"/>
        </w:rPr>
        <w:br/>
        <w:t>BPIR Declaration</w:t>
      </w:r>
    </w:p>
    <w:p w:rsidR="00D125EF" w:rsidRDefault="00D125EF">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V1 31/10/23</w:t>
      </w:r>
    </w:p>
    <w:p w:rsidR="00D125EF" w:rsidRDefault="00D125EF">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D125EF" w:rsidRDefault="00D125EF">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D125EF" w:rsidRDefault="00D125EF">
      <w:pPr>
        <w:pStyle w:val="NormalWeb"/>
        <w:rPr>
          <w:rFonts w:ascii="Microsoft Sans Serif" w:hAnsi="Microsoft Sans Serif" w:cs="Microsoft Sans Serif"/>
          <w:lang w:val="en"/>
        </w:rPr>
      </w:pPr>
      <w:r>
        <w:rPr>
          <w:rFonts w:ascii="Microsoft Sans Serif" w:hAnsi="Microsoft Sans Serif" w:cs="Microsoft Sans Serif"/>
          <w:lang w:val="en"/>
        </w:rPr>
        <w:t>Tranquillity New Zealand Ltd has provided this declaration to satisfy the provisions of Schedule 1(d) of the Building (Building Product Information Requirements) Regulations 2022.</w:t>
      </w:r>
    </w:p>
    <w:p w:rsidR="00D125EF" w:rsidRDefault="00D125EF">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r>
              <w:rPr>
                <w:rFonts w:ascii="Microsoft Sans Serif" w:eastAsia="Times New Roman" w:hAnsi="Microsoft Sans Serif" w:cs="Microsoft Sans Serif"/>
              </w:rPr>
              <w:t>Channel drains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r>
              <w:rPr>
                <w:rFonts w:ascii="Microsoft Sans Serif" w:eastAsia="Times New Roman" w:hAnsi="Microsoft Sans Serif" w:cs="Microsoft Sans Serif"/>
              </w:rPr>
              <w:t>Tranquillity Colour Collection</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r>
              <w:rPr>
                <w:rFonts w:ascii="Microsoft Sans Serif" w:eastAsia="Times New Roman" w:hAnsi="Microsoft Sans Serif" w:cs="Microsoft Sans Serif"/>
              </w:rPr>
              <w:t xml:space="preserve">Channel drain Tile Insert </w:t>
            </w:r>
            <w:r>
              <w:rPr>
                <w:rFonts w:ascii="Microsoft Sans Serif" w:eastAsia="Times New Roman" w:hAnsi="Microsoft Sans Serif" w:cs="Microsoft Sans Serif"/>
              </w:rPr>
              <w:br/>
            </w:r>
            <w:r>
              <w:rPr>
                <w:rFonts w:ascii="Microsoft Sans Serif" w:eastAsia="Times New Roman" w:hAnsi="Microsoft Sans Serif" w:cs="Microsoft Sans Serif"/>
              </w:rPr>
              <w:t>FDT 800/FDT 900/ FDT 1000/ FDT 1200/ FDT 1800</w:t>
            </w:r>
            <w:r>
              <w:rPr>
                <w:rFonts w:ascii="Microsoft Sans Serif" w:eastAsia="Times New Roman" w:hAnsi="Microsoft Sans Serif" w:cs="Microsoft Sans Serif"/>
              </w:rPr>
              <w:br/>
            </w:r>
            <w:r>
              <w:rPr>
                <w:rFonts w:ascii="Microsoft Sans Serif" w:eastAsia="Times New Roman" w:hAnsi="Microsoft Sans Serif" w:cs="Microsoft Sans Serif"/>
              </w:rPr>
              <w:br/>
              <w:t>Channel drain Linear</w:t>
            </w:r>
            <w:r>
              <w:rPr>
                <w:rFonts w:ascii="Microsoft Sans Serif" w:eastAsia="Times New Roman" w:hAnsi="Microsoft Sans Serif" w:cs="Microsoft Sans Serif"/>
              </w:rPr>
              <w:br/>
              <w:t>FDL 800/ FDL 1000/ FDL 1200</w:t>
            </w:r>
            <w:r>
              <w:rPr>
                <w:rFonts w:ascii="Microsoft Sans Serif" w:eastAsia="Times New Roman" w:hAnsi="Microsoft Sans Serif" w:cs="Microsoft Sans Serif"/>
              </w:rPr>
              <w:br/>
            </w:r>
            <w:r>
              <w:rPr>
                <w:rFonts w:ascii="Microsoft Sans Serif" w:eastAsia="Times New Roman" w:hAnsi="Microsoft Sans Serif" w:cs="Microsoft Sans Serif"/>
              </w:rPr>
              <w:lastRenderedPageBreak/>
              <w:br/>
              <w:t>Channel drain Mesh</w:t>
            </w:r>
            <w:r>
              <w:rPr>
                <w:rFonts w:ascii="Microsoft Sans Serif" w:eastAsia="Times New Roman" w:hAnsi="Microsoft Sans Serif" w:cs="Microsoft Sans Serif"/>
              </w:rPr>
              <w:br/>
              <w:t>FDM 800/FDM 900/FDM 1000/FDM 1200/FDM 1800</w:t>
            </w:r>
            <w:r>
              <w:rPr>
                <w:rFonts w:ascii="Microsoft Sans Serif" w:eastAsia="Times New Roman" w:hAnsi="Microsoft Sans Serif" w:cs="Microsoft Sans Serif"/>
              </w:rPr>
              <w:br/>
            </w:r>
            <w:r>
              <w:rPr>
                <w:rFonts w:ascii="Microsoft Sans Serif" w:eastAsia="Times New Roman" w:hAnsi="Microsoft Sans Serif" w:cs="Microsoft Sans Serif"/>
              </w:rPr>
              <w:br/>
              <w:t>Channel drain Brushed Stainless (available in 4 finishes)</w:t>
            </w:r>
            <w:r>
              <w:rPr>
                <w:rFonts w:ascii="Microsoft Sans Serif" w:eastAsia="Times New Roman" w:hAnsi="Microsoft Sans Serif" w:cs="Microsoft Sans Serif"/>
              </w:rPr>
              <w:br/>
              <w:t>Brushed stainless - FDTB 800 SS/FDTB 900 SS / FDTB 1000 SS/FDTB 1200 SS</w:t>
            </w:r>
            <w:r>
              <w:rPr>
                <w:rFonts w:ascii="Microsoft Sans Serif" w:eastAsia="Times New Roman" w:hAnsi="Microsoft Sans Serif" w:cs="Microsoft Sans Serif"/>
              </w:rPr>
              <w:br/>
            </w:r>
            <w:r>
              <w:rPr>
                <w:rFonts w:ascii="Microsoft Sans Serif" w:eastAsia="Times New Roman" w:hAnsi="Microsoft Sans Serif" w:cs="Microsoft Sans Serif"/>
              </w:rPr>
              <w:br/>
              <w:t>Matt black - FDTB 800 SS Black/FDTB 900 SS Black/FDTB 1000 SS Black/ FDTB 1200 SS Black</w:t>
            </w:r>
            <w:r>
              <w:rPr>
                <w:rFonts w:ascii="Microsoft Sans Serif" w:eastAsia="Times New Roman" w:hAnsi="Microsoft Sans Serif" w:cs="Microsoft Sans Serif"/>
              </w:rPr>
              <w:br/>
            </w:r>
            <w:r>
              <w:rPr>
                <w:rFonts w:ascii="Microsoft Sans Serif" w:eastAsia="Times New Roman" w:hAnsi="Microsoft Sans Serif" w:cs="Microsoft Sans Serif"/>
              </w:rPr>
              <w:br/>
              <w:t>Brushed gun-metal - FDTB 800 GM/ FDTB 900 GM/ FDTB 1000 GM/FDTB 1200 GM</w:t>
            </w:r>
            <w:r>
              <w:rPr>
                <w:rFonts w:ascii="Microsoft Sans Serif" w:eastAsia="Times New Roman" w:hAnsi="Microsoft Sans Serif" w:cs="Microsoft Sans Serif"/>
              </w:rPr>
              <w:br/>
            </w:r>
            <w:r>
              <w:rPr>
                <w:rFonts w:ascii="Microsoft Sans Serif" w:eastAsia="Times New Roman" w:hAnsi="Microsoft Sans Serif" w:cs="Microsoft Sans Serif"/>
              </w:rPr>
              <w:br/>
              <w:t>Brushed brass - FDTB 800 Brass/FDTB 1000 Brass/FDTB 1200 Br</w:t>
            </w:r>
            <w:r>
              <w:rPr>
                <w:rFonts w:ascii="Microsoft Sans Serif" w:eastAsia="Times New Roman" w:hAnsi="Microsoft Sans Serif" w:cs="Microsoft Sans Serif"/>
              </w:rPr>
              <w:t>ass</w:t>
            </w:r>
          </w:p>
        </w:tc>
      </w:tr>
    </w:tbl>
    <w:p w:rsidR="00D125EF" w:rsidRDefault="00D125EF">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lastRenderedPageBreak/>
        <w:t>Description</w:t>
      </w:r>
    </w:p>
    <w:p w:rsidR="00D125EF" w:rsidRDefault="00D125EF">
      <w:pPr>
        <w:pStyle w:val="NormalWeb"/>
        <w:rPr>
          <w:rFonts w:ascii="Microsoft Sans Serif" w:hAnsi="Microsoft Sans Serif" w:cs="Microsoft Sans Serif"/>
          <w:lang w:val="en"/>
        </w:rPr>
      </w:pPr>
      <w:r>
        <w:rPr>
          <w:rFonts w:ascii="Microsoft Sans Serif" w:hAnsi="Microsoft Sans Serif" w:cs="Microsoft Sans Serif"/>
          <w:lang w:val="en"/>
        </w:rPr>
        <w:t xml:space="preserve">The Tranquillity Channel drains are manufactured from high quality maintenance free materials. They are crafted from the highest quality stainless steel (316 grade) and to the finest detail creating a luxurious appearance in any bathroom. </w:t>
      </w:r>
    </w:p>
    <w:p w:rsidR="00D125EF" w:rsidRDefault="00D125EF">
      <w:pPr>
        <w:pStyle w:val="NormalWeb"/>
        <w:rPr>
          <w:rFonts w:ascii="Microsoft Sans Serif" w:hAnsi="Microsoft Sans Serif" w:cs="Microsoft Sans Serif"/>
          <w:lang w:val="en"/>
        </w:rPr>
      </w:pPr>
      <w:r>
        <w:rPr>
          <w:rFonts w:ascii="Microsoft Sans Serif" w:hAnsi="Microsoft Sans Serif" w:cs="Microsoft Sans Serif"/>
          <w:lang w:val="en"/>
        </w:rPr>
        <w:t>Tranquillity Channel drains are available in the following lengths 800, 900</w:t>
      </w:r>
      <w:r>
        <w:rPr>
          <w:rStyle w:val="Emphasis"/>
          <w:rFonts w:ascii="Microsoft Sans Serif" w:hAnsi="Microsoft Sans Serif" w:cs="Microsoft Sans Serif"/>
          <w:lang w:val="en"/>
        </w:rPr>
        <w:t>, 1000, 1200 and 1800</w:t>
      </w:r>
      <w:r>
        <w:rPr>
          <w:rFonts w:ascii="Microsoft Sans Serif" w:hAnsi="Microsoft Sans Serif" w:cs="Microsoft Sans Serif"/>
          <w:lang w:val="en"/>
        </w:rPr>
        <w:t xml:space="preserve"> mm.</w:t>
      </w:r>
    </w:p>
    <w:p w:rsidR="00D125EF" w:rsidRDefault="00D125EF">
      <w:pPr>
        <w:pStyle w:val="NormalWeb"/>
        <w:rPr>
          <w:rFonts w:ascii="Microsoft Sans Serif" w:hAnsi="Microsoft Sans Serif" w:cs="Microsoft Sans Serif"/>
          <w:lang w:val="en"/>
        </w:rPr>
      </w:pPr>
      <w:r>
        <w:rPr>
          <w:rFonts w:ascii="Microsoft Sans Serif" w:hAnsi="Microsoft Sans Serif" w:cs="Microsoft Sans Serif"/>
          <w:lang w:val="en"/>
        </w:rPr>
        <w:t>Dimensions of the channel drains are 800/900/1000/1200/1800(l) x 69(w) x 21(d) mm</w:t>
      </w:r>
    </w:p>
    <w:p w:rsidR="00D125EF" w:rsidRDefault="00D125EF">
      <w:pPr>
        <w:pStyle w:val="NormalWeb"/>
        <w:rPr>
          <w:rFonts w:ascii="Microsoft Sans Serif" w:hAnsi="Microsoft Sans Serif" w:cs="Microsoft Sans Serif"/>
          <w:lang w:val="en"/>
        </w:rPr>
      </w:pPr>
      <w:r>
        <w:rPr>
          <w:rFonts w:ascii="Microsoft Sans Serif" w:hAnsi="Microsoft Sans Serif" w:cs="Microsoft Sans Serif"/>
          <w:lang w:val="en"/>
        </w:rPr>
        <w:t>Diameter:45mm Required waste flange minimum 50mm diameter.</w:t>
      </w:r>
    </w:p>
    <w:p w:rsidR="00D125EF" w:rsidRDefault="00D125EF">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selected styles only</w:t>
      </w:r>
    </w:p>
    <w:p w:rsidR="00D125EF" w:rsidRDefault="00D125EF">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D125EF" w:rsidRDefault="00D125EF">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D125EF" w:rsidRDefault="00D125EF">
      <w:pPr>
        <w:pStyle w:val="NormalWeb"/>
        <w:rPr>
          <w:rFonts w:ascii="Microsoft Sans Serif" w:hAnsi="Microsoft Sans Serif" w:cs="Microsoft Sans Serif"/>
          <w:lang w:val="en"/>
        </w:rPr>
      </w:pPr>
      <w:r>
        <w:rPr>
          <w:rFonts w:ascii="Microsoft Sans Serif" w:hAnsi="Microsoft Sans Serif" w:cs="Microsoft Sans Serif"/>
          <w:lang w:val="en"/>
        </w:rPr>
        <w:t xml:space="preserve">Channel drains are versatile drainage systems used in bathrooms and other wet areas to efficiently direct water away from the shower floor. </w:t>
      </w:r>
    </w:p>
    <w:p w:rsidR="00D125EF" w:rsidRDefault="00D125EF">
      <w:pPr>
        <w:pStyle w:val="NormalWeb"/>
        <w:rPr>
          <w:rFonts w:ascii="Microsoft Sans Serif" w:hAnsi="Microsoft Sans Serif" w:cs="Microsoft Sans Serif"/>
          <w:lang w:val="en"/>
        </w:rPr>
      </w:pPr>
      <w:r>
        <w:rPr>
          <w:rFonts w:ascii="Microsoft Sans Serif" w:hAnsi="Microsoft Sans Serif" w:cs="Microsoft Sans Serif"/>
          <w:lang w:val="en"/>
        </w:rPr>
        <w:t xml:space="preserve">In wet room designs, where the entire bathroom functions as a shower, channel drains ensure that water drains properly across the entire bathroom floor. </w:t>
      </w:r>
    </w:p>
    <w:p w:rsidR="00D125EF" w:rsidRDefault="00D125EF">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D125EF" w:rsidRDefault="00D125EF">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D125EF" w:rsidRDefault="00D125EF">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D125EF" w:rsidRDefault="00D125EF">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D125EF" w:rsidRDefault="00D125EF">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B2 Durability</w:t>
      </w:r>
      <w:r>
        <w:rPr>
          <w:rFonts w:ascii="Microsoft Sans Serif" w:hAnsi="Microsoft Sans Serif" w:cs="Microsoft Sans Serif"/>
          <w:lang w:val="en"/>
        </w:rPr>
        <w:t xml:space="preserve"> — B2.3.1 (b)</w:t>
      </w:r>
    </w:p>
    <w:p w:rsidR="00D125EF" w:rsidRDefault="00D125EF">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F2 Hazardous building materials</w:t>
      </w:r>
      <w:r>
        <w:rPr>
          <w:rFonts w:ascii="Microsoft Sans Serif" w:hAnsi="Microsoft Sans Serif" w:cs="Microsoft Sans Serif"/>
          <w:lang w:val="en"/>
        </w:rPr>
        <w:t xml:space="preserve"> — F2.3.1</w:t>
      </w:r>
    </w:p>
    <w:p w:rsidR="00D125EF" w:rsidRDefault="00D125EF">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G13 Foul water</w:t>
      </w:r>
      <w:r>
        <w:rPr>
          <w:rFonts w:ascii="Microsoft Sans Serif" w:hAnsi="Microsoft Sans Serif" w:cs="Microsoft Sans Serif"/>
          <w:lang w:val="en"/>
        </w:rPr>
        <w:t xml:space="preserve"> — G13.3.1, G13.3.2</w:t>
      </w:r>
    </w:p>
    <w:p w:rsidR="00D125EF" w:rsidRDefault="00D125EF">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D125EF" w:rsidRDefault="00D125EF">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D125EF" w:rsidRDefault="00D125EF">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D125EF" w:rsidRDefault="00D125EF">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D125EF" w:rsidRDefault="00D125EF">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tbl>
      <w:tblPr>
        <w:tblW w:w="5000" w:type="pct"/>
        <w:tblCellMar>
          <w:top w:w="15" w:type="dxa"/>
          <w:left w:w="15" w:type="dxa"/>
          <w:bottom w:w="15" w:type="dxa"/>
          <w:right w:w="15" w:type="dxa"/>
        </w:tblCellMar>
        <w:tblLook w:val="04A0" w:firstRow="1" w:lastRow="0" w:firstColumn="1" w:lastColumn="0" w:noHBand="0" w:noVBand="1"/>
      </w:tblPr>
      <w:tblGrid>
        <w:gridCol w:w="2690"/>
        <w:gridCol w:w="306"/>
        <w:gridCol w:w="5970"/>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r>
              <w:rPr>
                <w:rStyle w:val="Strong"/>
                <w:rFonts w:ascii="Microsoft Sans Serif" w:eastAsia="Times New Roman" w:hAnsi="Microsoft Sans Serif" w:cs="Microsoft Sans Serif"/>
              </w:rPr>
              <w:t>Brochure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125EF" w:rsidRDefault="00D125EF">
            <w:pPr>
              <w:wordWrap w:val="0"/>
              <w:rPr>
                <w:rFonts w:ascii="Microsoft Sans Serif" w:eastAsia="Times New Roman" w:hAnsi="Microsoft Sans Serif" w:cs="Microsoft Sans Serif"/>
              </w:rPr>
            </w:pPr>
            <w:hyperlink r:id="rId6" w:tgtFrame="_blank" w:history="1">
              <w:r>
                <w:rPr>
                  <w:rStyle w:val="Hyperlink"/>
                  <w:rFonts w:ascii="Microsoft Sans Serif" w:eastAsia="Times New Roman" w:hAnsi="Microsoft Sans Serif" w:cs="Microsoft Sans Serif"/>
                </w:rPr>
                <w:t>https://chrome-extension://efaidnbmnnnibpcajpcglclefindmkaj/https://tbw.co.nz/wp-content/uploads/2023/10/4.-Channel-drain-and-flange-brochure.pdf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r>
              <w:rPr>
                <w:rStyle w:val="Strong"/>
                <w:rFonts w:ascii="Microsoft Sans Serif" w:eastAsia="Times New Roman" w:hAnsi="Microsoft Sans Serif" w:cs="Microsoft Sans Serif"/>
              </w:rPr>
              <w:t>Installation instructions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125EF" w:rsidRDefault="00D125EF">
            <w:pPr>
              <w:wordWrap w:val="0"/>
              <w:rPr>
                <w:rFonts w:ascii="Microsoft Sans Serif" w:eastAsia="Times New Roman" w:hAnsi="Microsoft Sans Serif" w:cs="Microsoft Sans Serif"/>
              </w:rPr>
            </w:pPr>
            <w:hyperlink r:id="rId7" w:tgtFrame="_blank" w:history="1">
              <w:r>
                <w:rPr>
                  <w:rStyle w:val="Hyperlink"/>
                  <w:rFonts w:ascii="Microsoft Sans Serif" w:eastAsia="Times New Roman" w:hAnsi="Microsoft Sans Serif" w:cs="Microsoft Sans Serif"/>
                </w:rPr>
                <w:t>https://chrome-extension://efaidnbmnnnibpcajpcglclefindmkaj/https://tbw.co.nz/wp-content/uploads/2023/07/5.-Channel-drain-installation-instructions.pdf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r>
              <w:rPr>
                <w:rStyle w:val="Strong"/>
                <w:rFonts w:ascii="Microsoft Sans Serif" w:eastAsia="Times New Roman" w:hAnsi="Microsoft Sans Serif" w:cs="Microsoft Sans Serif"/>
              </w:rPr>
              <w:t>Data Sheet - Channel drain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125EF" w:rsidRDefault="00D125EF">
            <w:pPr>
              <w:wordWrap w:val="0"/>
              <w:rPr>
                <w:rFonts w:ascii="Microsoft Sans Serif" w:eastAsia="Times New Roman" w:hAnsi="Microsoft Sans Serif" w:cs="Microsoft Sans Serif"/>
              </w:rPr>
            </w:pPr>
            <w:hyperlink r:id="rId8" w:tgtFrame="_blank" w:history="1">
              <w:r>
                <w:rPr>
                  <w:rStyle w:val="Hyperlink"/>
                  <w:rFonts w:ascii="Microsoft Sans Serif" w:eastAsia="Times New Roman" w:hAnsi="Microsoft Sans Serif" w:cs="Microsoft Sans Serif"/>
                </w:rPr>
                <w:t>https://chrome-extension://efaidnbmnnnibpcajpcglclefindmkaj/https://tbw.co.nz/wp-content/uploads/2023/07/Data-sheets-Channel-drains.pdf</w:t>
              </w:r>
            </w:hyperlink>
          </w:p>
        </w:tc>
      </w:tr>
    </w:tbl>
    <w:p w:rsidR="00D125EF" w:rsidRDefault="00D125EF">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Channel drains claims refer to our website.</w:t>
      </w:r>
    </w:p>
    <w:p w:rsidR="00D125EF" w:rsidRDefault="00D125EF">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D125EF" w:rsidRDefault="00D125EF">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4906"/>
        <w:gridCol w:w="4060"/>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r>
              <w:rPr>
                <w:rFonts w:ascii="Microsoft Sans Serif" w:eastAsia="Times New Roman" w:hAnsi="Microsoft Sans Serif" w:cs="Microsoft Sans Serif"/>
              </w:rPr>
              <w:t>Overseas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125EF" w:rsidRDefault="00D125EF">
            <w:pPr>
              <w:wordWrap w:val="0"/>
              <w:rPr>
                <w:rFonts w:ascii="Microsoft Sans Serif" w:eastAsia="Times New Roman" w:hAnsi="Microsoft Sans Serif" w:cs="Microsoft Sans Serif"/>
              </w:rPr>
            </w:pPr>
            <w:r>
              <w:rPr>
                <w:rFonts w:ascii="Microsoft Sans Serif" w:eastAsia="Times New Roman" w:hAnsi="Microsoft Sans Serif" w:cs="Microsoft Sans Serif"/>
              </w:rPr>
              <w:t>Foshan Aussie Steel Ltd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importer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125EF" w:rsidRDefault="00D125EF">
            <w:pPr>
              <w:wordWrap w:val="0"/>
              <w:rPr>
                <w:rFonts w:ascii="Microsoft Sans Serif" w:eastAsia="Times New Roman" w:hAnsi="Microsoft Sans Serif" w:cs="Microsoft Sans Serif"/>
              </w:rPr>
            </w:pPr>
            <w:r>
              <w:rPr>
                <w:rFonts w:ascii="Microsoft Sans Serif" w:eastAsia="Times New Roman" w:hAnsi="Microsoft Sans Serif" w:cs="Microsoft Sans Serif"/>
              </w:rPr>
              <w:t>Tranquillity New Zealand Ltd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125EF" w:rsidRDefault="00D125EF">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483A Rosebank Road, Avondale </w:t>
            </w:r>
            <w:r>
              <w:rPr>
                <w:rFonts w:ascii="Microsoft Sans Serif" w:eastAsia="Times New Roman" w:hAnsi="Microsoft Sans Serif" w:cs="Microsoft Sans Serif"/>
              </w:rPr>
              <w:br/>
              <w:t>Auckland 1026</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125EF" w:rsidRDefault="00D125EF">
            <w:pPr>
              <w:wordWrap w:val="0"/>
              <w:rPr>
                <w:rFonts w:ascii="Microsoft Sans Serif" w:eastAsia="Times New Roman" w:hAnsi="Microsoft Sans Serif" w:cs="Microsoft Sans Serif"/>
              </w:rPr>
            </w:pPr>
            <w:hyperlink r:id="rId9" w:history="1">
              <w:r>
                <w:rPr>
                  <w:rStyle w:val="Hyperlink"/>
                  <w:rFonts w:ascii="Microsoft Sans Serif" w:eastAsia="Times New Roman" w:hAnsi="Microsoft Sans Serif" w:cs="Microsoft Sans Serif"/>
                </w:rPr>
                <w:t>tbw.co.nz</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125EF" w:rsidRDefault="00D125EF">
            <w:pPr>
              <w:wordWrap w:val="0"/>
              <w:rPr>
                <w:rFonts w:ascii="Microsoft Sans Serif" w:eastAsia="Times New Roman" w:hAnsi="Microsoft Sans Serif" w:cs="Microsoft Sans Serif"/>
              </w:rPr>
            </w:pPr>
            <w:r>
              <w:rPr>
                <w:rFonts w:ascii="Microsoft Sans Serif" w:eastAsia="Times New Roman" w:hAnsi="Microsoft Sans Serif" w:cs="Microsoft Sans Serif"/>
              </w:rPr>
              <w:t>9429035822851</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125EF" w:rsidRDefault="00D125EF">
            <w:pPr>
              <w:wordWrap w:val="0"/>
              <w:rPr>
                <w:rFonts w:ascii="Microsoft Sans Serif" w:eastAsia="Times New Roman" w:hAnsi="Microsoft Sans Serif" w:cs="Microsoft Sans Serif"/>
              </w:rPr>
            </w:pPr>
            <w:r>
              <w:rPr>
                <w:rFonts w:ascii="Microsoft Sans Serif" w:eastAsia="Times New Roman" w:hAnsi="Microsoft Sans Serif" w:cs="Microsoft Sans Serif"/>
              </w:rPr>
              <w:t>info@tbw.co.nz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125EF" w:rsidRDefault="00D125EF">
            <w:pPr>
              <w:wordWrap w:val="0"/>
              <w:rPr>
                <w:rFonts w:ascii="Microsoft Sans Serif" w:eastAsia="Times New Roman" w:hAnsi="Microsoft Sans Serif" w:cs="Microsoft Sans Serif"/>
              </w:rPr>
            </w:pPr>
            <w:r>
              <w:rPr>
                <w:rFonts w:ascii="Microsoft Sans Serif" w:eastAsia="Times New Roman" w:hAnsi="Microsoft Sans Serif" w:cs="Microsoft Sans Serif"/>
              </w:rPr>
              <w:t>0800805558</w:t>
            </w:r>
          </w:p>
        </w:tc>
      </w:tr>
    </w:tbl>
    <w:p w:rsidR="00D125EF" w:rsidRDefault="00D125EF">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D125EF" w:rsidRDefault="00D125EF">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D125EF" w:rsidRDefault="00D125EF">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D125EF" w:rsidRDefault="00D125EF">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Channel drains is not subject to a warning on ban under </w:t>
      </w:r>
      <w:hyperlink r:id="rId10"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D125EF" w:rsidRDefault="00D125EF">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Tranquillity New Zealand Ltd:</w:t>
      </w:r>
    </w:p>
    <w:p w:rsidR="00D125EF" w:rsidRDefault="00D125EF">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D125EF" w:rsidRDefault="00D125EF">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t>Month Year</w:t>
      </w:r>
    </w:p>
    <w:p w:rsidR="00D125EF" w:rsidRDefault="00D125EF">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Tranquillity New Zealand Ltd</w:t>
      </w:r>
      <w:r>
        <w:rPr>
          <w:rFonts w:ascii="Microsoft Sans Serif" w:hAnsi="Microsoft Sans Serif" w:cs="Microsoft Sans Serif"/>
          <w:sz w:val="20"/>
          <w:szCs w:val="20"/>
          <w:lang w:val="en"/>
        </w:rPr>
        <w:br/>
        <w:t>483A Rosebank Road, Avondale Auckland 1026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0800805558 | </w:t>
      </w:r>
      <w:hyperlink r:id="rId11" w:tgtFrame="_blank" w:history="1">
        <w:r>
          <w:rPr>
            <w:rStyle w:val="Hyperlink"/>
            <w:rFonts w:ascii="Microsoft Sans Serif" w:hAnsi="Microsoft Sans Serif" w:cs="Microsoft Sans Serif"/>
            <w:sz w:val="20"/>
            <w:szCs w:val="20"/>
            <w:lang w:val="en"/>
          </w:rPr>
          <w:t>tbw.co.nz</w:t>
        </w:r>
      </w:hyperlink>
      <w:r>
        <w:rPr>
          <w:rFonts w:ascii="Microsoft Sans Serif" w:hAnsi="Microsoft Sans Serif" w:cs="Microsoft Sans Serif"/>
          <w:sz w:val="20"/>
          <w:szCs w:val="20"/>
          <w:lang w:val="en"/>
        </w:rPr>
        <w:t xml:space="preserve"> </w:t>
      </w:r>
    </w:p>
    <w:p w:rsidR="00D125EF" w:rsidRDefault="00D125EF">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D125EF" w:rsidRDefault="00D125EF">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r>
            <w:r>
              <w:rPr>
                <w:rFonts w:ascii="Microsoft Sans Serif" w:hAnsi="Microsoft Sans Serif" w:cs="Microsoft Sans Serif"/>
              </w:rPr>
              <w:t>Publishing this information is not a requirement under BPIR. Its inclusion here is to provide a reference for how this BPIR summary was generated as well as to help summary creators understand the performance clauses suggested by BPIR Ready.</w:t>
            </w:r>
          </w:p>
        </w:tc>
      </w:tr>
    </w:tbl>
    <w:p w:rsidR="00D125EF" w:rsidRDefault="00D125EF">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D125EF" w:rsidRDefault="00D125EF">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D125EF" w:rsidRDefault="00D125EF">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Foul water conveying plumbing and drainage systems</w:t>
      </w:r>
    </w:p>
    <w:tbl>
      <w:tblPr>
        <w:tblW w:w="5000" w:type="pct"/>
        <w:tblCellMar>
          <w:top w:w="15" w:type="dxa"/>
          <w:left w:w="15" w:type="dxa"/>
          <w:bottom w:w="15" w:type="dxa"/>
          <w:right w:w="15" w:type="dxa"/>
        </w:tblCellMar>
        <w:tblLook w:val="04A0" w:firstRow="1" w:lastRow="0" w:firstColumn="1" w:lastColumn="0" w:noHBand="0" w:noVBand="1"/>
      </w:tblPr>
      <w:tblGrid>
        <w:gridCol w:w="6983"/>
        <w:gridCol w:w="1071"/>
        <w:gridCol w:w="912"/>
      </w:tblGrid>
      <w:tr w:rsidR="00000000">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rsidR="00D125EF" w:rsidRDefault="00D125EF">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125EF" w:rsidRDefault="00D125EF">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125EF" w:rsidRDefault="00D125EF">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r>
              <w:rPr>
                <w:rFonts w:ascii="Microsoft Sans Serif" w:eastAsia="Times New Roman" w:hAnsi="Microsoft Sans Serif" w:cs="Microsoft Sans Serif"/>
              </w:rPr>
              <w:t xml:space="preserve">Capable of being permanently concealed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125EF" w:rsidRDefault="00D125EF">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125EF" w:rsidRDefault="00D125EF">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bl>
    <w:p w:rsidR="00D125EF" w:rsidRDefault="00D125EF">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D125EF" w:rsidRDefault="00D125EF">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p w:rsidR="00D125EF" w:rsidRDefault="00D125EF">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B2 Durability</w:t>
      </w:r>
    </w:p>
    <w:p w:rsidR="00D125EF" w:rsidRDefault="00D125EF">
      <w:pPr>
        <w:pStyle w:val="NormalWeb"/>
        <w:divId w:val="454641889"/>
        <w:rPr>
          <w:rFonts w:ascii="Microsoft Sans Serif" w:hAnsi="Microsoft Sans Serif" w:cs="Microsoft Sans Serif"/>
          <w:sz w:val="20"/>
          <w:szCs w:val="20"/>
          <w:lang w:val="en"/>
        </w:rPr>
      </w:pPr>
      <w:r>
        <w:rPr>
          <w:rFonts w:ascii="Microsoft Sans Serif" w:hAnsi="Microsoft Sans Serif" w:cs="Microsoft Sans Serif"/>
          <w:sz w:val="20"/>
          <w:szCs w:val="20"/>
          <w:lang w:val="en"/>
        </w:rPr>
        <w:t>B2.3.1</w:t>
      </w:r>
    </w:p>
    <w:p w:rsidR="00D125EF" w:rsidRDefault="00D125EF">
      <w:pPr>
        <w:pStyle w:val="NormalWeb"/>
        <w:divId w:val="454641889"/>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w:t>
      </w:r>
      <w:r>
        <w:rPr>
          <w:rFonts w:ascii="Microsoft Sans Serif" w:hAnsi="Microsoft Sans Serif" w:cs="Microsoft Sans Serif"/>
          <w:sz w:val="20"/>
          <w:szCs w:val="20"/>
          <w:lang w:val="en"/>
        </w:rPr>
        <w:t>must, with only normal maintenance, continue to satisfy the performance requirements of this code for the lesser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specified intended lif</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if stated, or:</w:t>
      </w:r>
    </w:p>
    <w:p w:rsidR="00D125EF" w:rsidRDefault="00D125EF">
      <w:pPr>
        <w:numPr>
          <w:ilvl w:val="0"/>
          <w:numId w:val="3"/>
        </w:numPr>
        <w:spacing w:before="100" w:beforeAutospacing="1" w:after="100" w:afterAutospacing="1"/>
        <w:divId w:val="45464188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 15 years if: those building elements (including the building envelope, exposed plumbing in the subfloor space, and in-built chimneys and flues) are moderately difficult to access or replace, or failure of those building elements to comply with the building code would go undetected during normal use of the building, but would be easily detected during normal maintenance.</w:t>
      </w:r>
    </w:p>
    <w:p w:rsidR="00D125EF" w:rsidRDefault="00D125EF">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F2 Hazardous building materials</w:t>
      </w:r>
    </w:p>
    <w:p w:rsidR="00D125EF" w:rsidRDefault="00D125EF">
      <w:pPr>
        <w:pStyle w:val="NormalWeb"/>
        <w:divId w:val="212230586"/>
        <w:rPr>
          <w:rFonts w:ascii="Microsoft Sans Serif" w:hAnsi="Microsoft Sans Serif" w:cs="Microsoft Sans Serif"/>
          <w:sz w:val="20"/>
          <w:szCs w:val="20"/>
          <w:lang w:val="en"/>
        </w:rPr>
      </w:pPr>
      <w:r>
        <w:rPr>
          <w:rFonts w:ascii="Microsoft Sans Serif" w:hAnsi="Microsoft Sans Serif" w:cs="Microsoft Sans Serif"/>
          <w:sz w:val="20"/>
          <w:szCs w:val="20"/>
          <w:lang w:val="en"/>
        </w:rPr>
        <w:t>F2.3.1</w:t>
      </w:r>
    </w:p>
    <w:p w:rsidR="00D125EF" w:rsidRDefault="00D125EF">
      <w:pPr>
        <w:pStyle w:val="NormalWeb"/>
        <w:divId w:val="212230586"/>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quantities of gas, liquid, radiation or solid particles emitted by materials used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not give rise to harmful concentrations at the surface of the material where the material is exposed, or in the atmosphere of any space.</w:t>
      </w:r>
    </w:p>
    <w:p w:rsidR="00D125EF" w:rsidRDefault="00D125EF">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G13 Foul water</w:t>
      </w:r>
    </w:p>
    <w:p w:rsidR="00D125EF" w:rsidRDefault="00D125EF">
      <w:pPr>
        <w:pStyle w:val="NormalWeb"/>
        <w:divId w:val="1619142737"/>
        <w:rPr>
          <w:rFonts w:ascii="Microsoft Sans Serif" w:hAnsi="Microsoft Sans Serif" w:cs="Microsoft Sans Serif"/>
          <w:sz w:val="20"/>
          <w:szCs w:val="20"/>
          <w:lang w:val="en"/>
        </w:rPr>
      </w:pPr>
      <w:r>
        <w:rPr>
          <w:rFonts w:ascii="Microsoft Sans Serif" w:hAnsi="Microsoft Sans Serif" w:cs="Microsoft Sans Serif"/>
          <w:sz w:val="20"/>
          <w:szCs w:val="20"/>
          <w:lang w:val="en"/>
        </w:rPr>
        <w:t>G13.3.1</w:t>
      </w:r>
    </w:p>
    <w:p w:rsidR="00D125EF" w:rsidRDefault="00D125EF">
      <w:pPr>
        <w:pStyle w:val="NormalWeb"/>
        <w:divId w:val="1619142737"/>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plumbing system shall be constructed to:</w:t>
      </w:r>
    </w:p>
    <w:p w:rsidR="00D125EF" w:rsidRDefault="00D125EF">
      <w:pPr>
        <w:numPr>
          <w:ilvl w:val="0"/>
          <w:numId w:val="4"/>
        </w:numPr>
        <w:spacing w:before="100" w:beforeAutospacing="1" w:after="100" w:afterAutospacing="1"/>
        <w:divId w:val="161914273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convey foul water from buildings to a drainage system,</w:t>
      </w:r>
    </w:p>
    <w:p w:rsidR="00D125EF" w:rsidRDefault="00D125EF">
      <w:pPr>
        <w:numPr>
          <w:ilvl w:val="0"/>
          <w:numId w:val="4"/>
        </w:numPr>
        <w:spacing w:before="100" w:beforeAutospacing="1" w:after="100" w:afterAutospacing="1"/>
        <w:divId w:val="161914273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avoid the likelihood of blockage and leakage,</w:t>
      </w:r>
    </w:p>
    <w:p w:rsidR="00D125EF" w:rsidRDefault="00D125EF">
      <w:pPr>
        <w:numPr>
          <w:ilvl w:val="0"/>
          <w:numId w:val="4"/>
        </w:numPr>
        <w:spacing w:before="100" w:beforeAutospacing="1" w:after="100" w:afterAutospacing="1"/>
        <w:divId w:val="161914273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avoid the likelihood of foul air and gases entering buildings, and</w:t>
      </w:r>
    </w:p>
    <w:p w:rsidR="00D125EF" w:rsidRDefault="00D125EF">
      <w:pPr>
        <w:numPr>
          <w:ilvl w:val="0"/>
          <w:numId w:val="4"/>
        </w:numPr>
        <w:spacing w:before="100" w:beforeAutospacing="1" w:after="100" w:afterAutospacing="1"/>
        <w:divId w:val="161914273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provide reasonable access for maintenance and clearing blockages.</w:t>
      </w:r>
    </w:p>
    <w:p w:rsidR="00D125EF" w:rsidRDefault="00D125EF">
      <w:pPr>
        <w:pStyle w:val="NormalWeb"/>
        <w:divId w:val="719330800"/>
        <w:rPr>
          <w:rFonts w:ascii="Microsoft Sans Serif" w:hAnsi="Microsoft Sans Serif" w:cs="Microsoft Sans Serif"/>
          <w:sz w:val="20"/>
          <w:szCs w:val="20"/>
          <w:lang w:val="en"/>
        </w:rPr>
      </w:pPr>
      <w:r>
        <w:rPr>
          <w:rFonts w:ascii="Microsoft Sans Serif" w:hAnsi="Microsoft Sans Serif" w:cs="Microsoft Sans Serif"/>
          <w:sz w:val="20"/>
          <w:szCs w:val="20"/>
          <w:lang w:val="en"/>
        </w:rPr>
        <w:t>G13.3.2</w:t>
      </w:r>
    </w:p>
    <w:p w:rsidR="00D125EF" w:rsidRDefault="00D125EF">
      <w:pPr>
        <w:pStyle w:val="NormalWeb"/>
        <w:divId w:val="719330800"/>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drainage system shall:</w:t>
      </w:r>
    </w:p>
    <w:p w:rsidR="00D125EF" w:rsidRDefault="00D125EF">
      <w:pPr>
        <w:numPr>
          <w:ilvl w:val="0"/>
          <w:numId w:val="5"/>
        </w:numPr>
        <w:spacing w:before="100" w:beforeAutospacing="1" w:after="100" w:afterAutospacing="1"/>
        <w:divId w:val="71933080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convey foul water to an appropriate outfall,</w:t>
      </w:r>
    </w:p>
    <w:p w:rsidR="00D125EF" w:rsidRDefault="00D125EF">
      <w:pPr>
        <w:numPr>
          <w:ilvl w:val="0"/>
          <w:numId w:val="5"/>
        </w:numPr>
        <w:spacing w:before="100" w:beforeAutospacing="1" w:after="100" w:afterAutospacing="1"/>
        <w:divId w:val="71933080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be constructed to avoid the likelihood of blockage,</w:t>
      </w:r>
    </w:p>
    <w:p w:rsidR="00D125EF" w:rsidRDefault="00D125EF">
      <w:pPr>
        <w:numPr>
          <w:ilvl w:val="0"/>
          <w:numId w:val="5"/>
        </w:numPr>
        <w:spacing w:before="100" w:beforeAutospacing="1" w:after="100" w:afterAutospacing="1"/>
        <w:divId w:val="71933080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be supported, jointed and protected in a way that will avoid the likelihood of penetration of roots or the entry of ground water,</w:t>
      </w:r>
    </w:p>
    <w:p w:rsidR="00D125EF" w:rsidRDefault="00D125EF">
      <w:pPr>
        <w:numPr>
          <w:ilvl w:val="0"/>
          <w:numId w:val="5"/>
        </w:numPr>
        <w:spacing w:before="100" w:beforeAutospacing="1" w:after="100" w:afterAutospacing="1"/>
        <w:divId w:val="71933080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be provided with reasonable access for maintenance and clearing blockages,</w:t>
      </w:r>
    </w:p>
    <w:p w:rsidR="00D125EF" w:rsidRDefault="00D125EF">
      <w:pPr>
        <w:numPr>
          <w:ilvl w:val="0"/>
          <w:numId w:val="5"/>
        </w:numPr>
        <w:spacing w:before="100" w:beforeAutospacing="1" w:after="100" w:afterAutospacing="1"/>
        <w:divId w:val="71933080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be ventilated to avoid the likelihood of foul air and gases accumulating in the drainage system and sewer, and</w:t>
      </w:r>
    </w:p>
    <w:p w:rsidR="00D125EF" w:rsidRDefault="00D125EF">
      <w:pPr>
        <w:numPr>
          <w:ilvl w:val="0"/>
          <w:numId w:val="5"/>
        </w:numPr>
        <w:spacing w:before="100" w:beforeAutospacing="1" w:after="100" w:afterAutospacing="1"/>
        <w:divId w:val="71933080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be constructed to avoid the likelihood of damage from superimposed loads or normal ground movement.</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FAC"/>
    <w:multiLevelType w:val="multilevel"/>
    <w:tmpl w:val="737C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D56A0"/>
    <w:multiLevelType w:val="multilevel"/>
    <w:tmpl w:val="06B6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E45995"/>
    <w:multiLevelType w:val="multilevel"/>
    <w:tmpl w:val="CAF0DF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BD2243B"/>
    <w:multiLevelType w:val="multilevel"/>
    <w:tmpl w:val="549A08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620EAC"/>
    <w:multiLevelType w:val="multilevel"/>
    <w:tmpl w:val="23DC09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10121964">
    <w:abstractNumId w:val="3"/>
  </w:num>
  <w:num w:numId="2" w16cid:durableId="528956868">
    <w:abstractNumId w:val="1"/>
  </w:num>
  <w:num w:numId="3" w16cid:durableId="2028024849">
    <w:abstractNumId w:val="0"/>
  </w:num>
  <w:num w:numId="4" w16cid:durableId="1558780648">
    <w:abstractNumId w:val="4"/>
  </w:num>
  <w:num w:numId="5" w16cid:durableId="89939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125EF"/>
    <w:rsid w:val="00D125EF"/>
    <w:rsid w:val="00FF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C172A0-3592-45A4-86F1-6EB71582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character" w:styleId="Emphasis">
    <w:name w:val="Emphasis"/>
    <w:basedOn w:val="DefaultParagraphFont"/>
    <w:uiPriority w:val="20"/>
    <w:qFormat/>
    <w:rPr>
      <w:i/>
      <w:iCs/>
    </w:rPr>
  </w:style>
  <w:style w:type="paragraph" w:customStyle="1" w:styleId="clause-summary">
    <w:name w:val="clause-summary"/>
    <w:basedOn w:val="Normal"/>
    <w:pPr>
      <w:spacing w:before="100" w:beforeAutospacing="1" w:after="100" w:afterAutospacing="1"/>
    </w:pPr>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 w:type="character" w:customStyle="1" w:styleId="tooltip-trigger">
    <w:name w:val="tooltip-trigg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0586">
      <w:marLeft w:val="0"/>
      <w:marRight w:val="0"/>
      <w:marTop w:val="0"/>
      <w:marBottom w:val="510"/>
      <w:divBdr>
        <w:top w:val="none" w:sz="0" w:space="0" w:color="auto"/>
        <w:left w:val="none" w:sz="0" w:space="0" w:color="auto"/>
        <w:bottom w:val="none" w:sz="0" w:space="0" w:color="auto"/>
        <w:right w:val="none" w:sz="0" w:space="0" w:color="auto"/>
      </w:divBdr>
    </w:div>
    <w:div w:id="454641889">
      <w:marLeft w:val="0"/>
      <w:marRight w:val="0"/>
      <w:marTop w:val="0"/>
      <w:marBottom w:val="510"/>
      <w:divBdr>
        <w:top w:val="none" w:sz="0" w:space="0" w:color="auto"/>
        <w:left w:val="none" w:sz="0" w:space="0" w:color="auto"/>
        <w:bottom w:val="none" w:sz="0" w:space="0" w:color="auto"/>
        <w:right w:val="none" w:sz="0" w:space="0" w:color="auto"/>
      </w:divBdr>
    </w:div>
    <w:div w:id="719330800">
      <w:marLeft w:val="0"/>
      <w:marRight w:val="0"/>
      <w:marTop w:val="0"/>
      <w:marBottom w:val="510"/>
      <w:divBdr>
        <w:top w:val="none" w:sz="0" w:space="0" w:color="auto"/>
        <w:left w:val="none" w:sz="0" w:space="0" w:color="auto"/>
        <w:bottom w:val="none" w:sz="0" w:space="0" w:color="auto"/>
        <w:right w:val="none" w:sz="0" w:space="0" w:color="auto"/>
      </w:divBdr>
    </w:div>
    <w:div w:id="1619142737">
      <w:marLeft w:val="0"/>
      <w:marRight w:val="0"/>
      <w:marTop w:val="0"/>
      <w:marBottom w:val="51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rome-extension://efaidnbmnnnibpcajpcglclefindmkaj/https://tbw.co.nz/wp-content/uploads/2023/07/Data-sheets-Channel-drain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rome-extension://efaidnbmnnnibpcajpcglclefindmkaj/https://tbw.co.nz/wp-content/uploads/2023/07/5.-Channel-drain-installation-instruction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rome-extension://efaidnbmnnnibpcajpcglclefindmkaj/https://tbw.co.nz/wp-content/uploads/2023/10/4.-Channel-drain-and-flange-brochure.pdf" TargetMode="External"/><Relationship Id="rId11" Type="http://schemas.openxmlformats.org/officeDocument/2006/relationships/hyperlink" Target="http://tbw.co.nz" TargetMode="External"/><Relationship Id="rId5" Type="http://schemas.openxmlformats.org/officeDocument/2006/relationships/hyperlink" Target="https://bpir.nz/bpir-regulations-and-requirements/disclosure-information" TargetMode="External"/><Relationship Id="rId10" Type="http://schemas.openxmlformats.org/officeDocument/2006/relationships/hyperlink" Target="https://www.legislation.govt.nz/act/public/2004/0072/latest/DLM306353.html" TargetMode="External"/><Relationship Id="rId4" Type="http://schemas.openxmlformats.org/officeDocument/2006/relationships/webSettings" Target="webSettings.xml"/><Relationship Id="rId9" Type="http://schemas.openxmlformats.org/officeDocument/2006/relationships/hyperlink" Target="http://tbw.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1236</Words>
  <Characters>6168</Characters>
  <Application>Microsoft Office Word</Application>
  <DocSecurity>4</DocSecurity>
  <Lines>342</Lines>
  <Paragraphs>238</Paragraphs>
  <ScaleCrop>false</ScaleCrop>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Channel drains BPIR Summary 4019</dc:title>
  <dc:subject/>
  <dc:creator>CARA-USER</dc:creator>
  <cp:keywords/>
  <dc:description/>
  <cp:lastModifiedBy>CARA-USER</cp:lastModifiedBy>
  <cp:revision>2</cp:revision>
  <dcterms:created xsi:type="dcterms:W3CDTF">2026-06-10T07:57:00Z</dcterms:created>
  <dcterms:modified xsi:type="dcterms:W3CDTF">2026-06-10T07:57:00Z</dcterms:modified>
</cp:coreProperties>
</file>