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0F4E7C" w:rsidRDefault="000F4E7C">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0F4E7C" w:rsidRDefault="000F4E7C">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0F4E7C" w:rsidRDefault="000F4E7C">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0F4E7C" w:rsidRDefault="000F4E7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0F4E7C" w:rsidRDefault="000F4E7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0F4E7C" w:rsidRDefault="000F4E7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0F4E7C" w:rsidRDefault="000F4E7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0F4E7C" w:rsidRDefault="000F4E7C">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0F4E7C" w:rsidRDefault="000F4E7C">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0F4E7C" w:rsidRDefault="000F4E7C">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ETERPAN® MD</w:t>
      </w:r>
      <w:r>
        <w:rPr>
          <w:rFonts w:ascii="Cambria" w:eastAsia="Times New Roman" w:hAnsi="Cambria" w:cs="Microsoft Sans Serif"/>
          <w:color w:val="4827EC"/>
          <w:sz w:val="42"/>
          <w:szCs w:val="42"/>
          <w:lang w:val="en"/>
        </w:rPr>
        <w:br/>
        <w:t>BPIR Declaration</w:t>
      </w:r>
    </w:p>
    <w:p w:rsidR="000F4E7C" w:rsidRDefault="000F4E7C">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v2</w:t>
      </w:r>
    </w:p>
    <w:p w:rsidR="000F4E7C" w:rsidRDefault="000F4E7C">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0F4E7C" w:rsidRDefault="000F4E7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Fibre Cement Solutions Ltd has provided this declaration to satisfy the provisions of Schedule 1(d) of the Building (Building Product Information Requirements) Regulations 2022.</w:t>
      </w:r>
    </w:p>
    <w:p w:rsidR="000F4E7C" w:rsidRDefault="000F4E7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Fonts w:ascii="Microsoft Sans Serif" w:eastAsia="Times New Roman" w:hAnsi="Microsoft Sans Serif" w:cs="Microsoft Sans Serif"/>
              </w:rPr>
              <w:t>ETERPAN® MD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Fonts w:ascii="Microsoft Sans Serif" w:eastAsia="Times New Roman" w:hAnsi="Microsoft Sans Serif" w:cs="Microsoft Sans Serif"/>
              </w:rPr>
              <w:t xml:space="preserve">ETERPAN® MD Fibre Cement </w:t>
            </w:r>
          </w:p>
        </w:tc>
      </w:tr>
    </w:tbl>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lastRenderedPageBreak/>
        <w:t>ETERPAN® is a multi-functional medium density fibre cement sheet designed for a wide range of applications including external cladding, base for stone and brick slips, soffits, decks, internal linings, flooring, sound insulation/absorption, fencing panels and rigid underlay. Crafted using an advanced “Flow On” production process and autoclaved at high temperatures and pressure, ETERPAN® offers exceptional strength.</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Sheet sizes range from 6mm, 9mm, 12mm, 18mm, 20mm and 24mm. And are available in 1.2m x 2.4m, 1.2m x 2.7m and 1.2m x 3m</w:t>
      </w:r>
    </w:p>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As ETERPAN has so many varied uses, please see our Technical Installation Guide found online here: www.fibrecementsolutions.co.nz/documents and review the section that covers the type of use you intend to use the board for.</w:t>
      </w:r>
    </w:p>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As specified by the architect.</w:t>
      </w:r>
    </w:p>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0F4E7C" w:rsidRDefault="000F4E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B1 Structure</w:t>
      </w:r>
      <w:r>
        <w:rPr>
          <w:rFonts w:ascii="Microsoft Sans Serif" w:hAnsi="Microsoft Sans Serif" w:cs="Microsoft Sans Serif"/>
          <w:lang w:val="en"/>
        </w:rPr>
        <w:t xml:space="preserve"> — B1.3.1, B1.3.2, B1.3.3 (f, h, m), B1.3.4</w:t>
      </w:r>
    </w:p>
    <w:p w:rsidR="000F4E7C" w:rsidRDefault="000F4E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(b)</w:t>
      </w:r>
    </w:p>
    <w:p w:rsidR="000F4E7C" w:rsidRDefault="000F4E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C3 Fire affecting areas beyond the fire source</w:t>
      </w:r>
      <w:r>
        <w:rPr>
          <w:rFonts w:ascii="Microsoft Sans Serif" w:hAnsi="Microsoft Sans Serif" w:cs="Microsoft Sans Serif"/>
          <w:lang w:val="en"/>
        </w:rPr>
        <w:t xml:space="preserve"> — C3.5</w:t>
      </w:r>
    </w:p>
    <w:p w:rsidR="000F4E7C" w:rsidRDefault="000F4E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E2 External moisture</w:t>
      </w:r>
      <w:r>
        <w:rPr>
          <w:rFonts w:ascii="Microsoft Sans Serif" w:hAnsi="Microsoft Sans Serif" w:cs="Microsoft Sans Serif"/>
          <w:lang w:val="en"/>
        </w:rPr>
        <w:t xml:space="preserve"> — E2.3.2, E2.3.5, E2.3.7</w:t>
      </w:r>
    </w:p>
    <w:p w:rsidR="000F4E7C" w:rsidRDefault="000F4E7C">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0F4E7C" w:rsidRDefault="000F4E7C">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E2/AS1 Acceptable Solution </w:t>
      </w:r>
    </w:p>
    <w:p w:rsidR="000F4E7C" w:rsidRDefault="000F4E7C">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Australian/New Zealand Standard, classified as type A under AS/NZS2908.2 standards</w:t>
      </w:r>
    </w:p>
    <w:p w:rsidR="000F4E7C" w:rsidRDefault="000F4E7C">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ETERPAN has been tested to AS/NZS 2918 standard and is classified as heat resistant wall lining.</w:t>
      </w:r>
    </w:p>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20"/>
        <w:gridCol w:w="595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Strong"/>
                <w:rFonts w:ascii="Microsoft Sans Serif" w:eastAsia="Times New Roman" w:hAnsi="Microsoft Sans Serif" w:cs="Microsoft Sans Serif"/>
              </w:rPr>
              <w:t>ETERPAN® Technical Data Sheet</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https://www.fibrecementsolutions.co.nz/documents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Strong"/>
                <w:rFonts w:ascii="Microsoft Sans Serif" w:eastAsia="Times New Roman" w:hAnsi="Microsoft Sans Serif" w:cs="Microsoft Sans Serif"/>
              </w:rPr>
              <w:t>ETERPAN® Installation and Technical Manual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https://www.fibrecementsolutions.co.nz/documents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Strong"/>
                <w:rFonts w:ascii="Microsoft Sans Serif" w:eastAsia="Times New Roman" w:hAnsi="Microsoft Sans Serif" w:cs="Microsoft Sans Serif"/>
              </w:rPr>
              <w:t>ETERPAN® Warranty Details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https://www.fibrecementsolutions.co.nz/documents</w:t>
              </w:r>
            </w:hyperlink>
          </w:p>
        </w:tc>
      </w:tr>
    </w:tbl>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ETERPAN® MD claims refer to our website.</w:t>
      </w:r>
    </w:p>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666"/>
        <w:gridCol w:w="430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r>
              <w:rPr>
                <w:rFonts w:ascii="Microsoft Sans Serif" w:eastAsia="Times New Roman" w:hAnsi="Microsoft Sans Serif" w:cs="Microsoft Sans Serif"/>
              </w:rPr>
              <w:t>ETEX Group</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r>
              <w:rPr>
                <w:rFonts w:ascii="Microsoft Sans Serif" w:eastAsia="Times New Roman" w:hAnsi="Microsoft Sans Serif" w:cs="Microsoft Sans Serif"/>
              </w:rPr>
              <w:t>Fibre Cement Solutions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10A Kaimahi Road </w:t>
            </w:r>
            <w:r>
              <w:rPr>
                <w:rFonts w:ascii="Microsoft Sans Serif" w:eastAsia="Times New Roman" w:hAnsi="Microsoft Sans Serif" w:cs="Microsoft Sans Serif"/>
              </w:rPr>
              <w:br/>
              <w:t>Auckland 0620</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www.fibrecementsolutions.co.nz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r>
              <w:rPr>
                <w:rFonts w:ascii="Microsoft Sans Serif" w:eastAsia="Times New Roman" w:hAnsi="Microsoft Sans Serif" w:cs="Microsoft Sans Serif"/>
              </w:rPr>
              <w:t>9429047133167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r>
              <w:rPr>
                <w:rFonts w:ascii="Microsoft Sans Serif" w:eastAsia="Times New Roman" w:hAnsi="Microsoft Sans Serif" w:cs="Microsoft Sans Serif"/>
              </w:rPr>
              <w:t>graeme@fibrecementsolutions.co.nz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0F4E7C" w:rsidRDefault="000F4E7C">
            <w:pPr>
              <w:wordWrap w:val="0"/>
              <w:rPr>
                <w:rFonts w:ascii="Microsoft Sans Serif" w:eastAsia="Times New Roman" w:hAnsi="Microsoft Sans Serif" w:cs="Microsoft Sans Serif"/>
              </w:rPr>
            </w:pPr>
            <w:r>
              <w:rPr>
                <w:rFonts w:ascii="Microsoft Sans Serif" w:eastAsia="Times New Roman" w:hAnsi="Microsoft Sans Serif" w:cs="Microsoft Sans Serif"/>
              </w:rPr>
              <w:t>09-9000-327</w:t>
            </w:r>
          </w:p>
        </w:tc>
      </w:tr>
    </w:tbl>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ETERPAN® MD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Fibre Cement Solutions Ltd:</w:t>
      </w:r>
    </w:p>
    <w:p w:rsidR="000F4E7C" w:rsidRDefault="000F4E7C">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0F4E7C" w:rsidRDefault="000F4E7C">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0F4E7C" w:rsidRDefault="000F4E7C">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Fibre Cement Solutions Ltd</w:t>
      </w:r>
      <w:r>
        <w:rPr>
          <w:rFonts w:ascii="Microsoft Sans Serif" w:hAnsi="Microsoft Sans Serif" w:cs="Microsoft Sans Serif"/>
          <w:sz w:val="20"/>
          <w:szCs w:val="20"/>
          <w:lang w:val="en"/>
        </w:rPr>
        <w:br/>
        <w:t>10A Kaimahi Road Auckland 0620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09-9000-327 | </w:t>
      </w:r>
      <w:hyperlink r:id="rId11" w:tgtFrame="_blank" w:history="1">
        <w:r>
          <w:rPr>
            <w:rStyle w:val="Hyperlink"/>
            <w:rFonts w:ascii="Microsoft Sans Serif" w:hAnsi="Microsoft Sans Serif" w:cs="Microsoft Sans Serif"/>
            <w:sz w:val="20"/>
            <w:szCs w:val="20"/>
            <w:lang w:val="en"/>
          </w:rPr>
          <w:t>www.fibrecementsolutions.co.nz</w:t>
        </w:r>
      </w:hyperlink>
      <w:r>
        <w:rPr>
          <w:rFonts w:ascii="Microsoft Sans Serif" w:hAnsi="Microsoft Sans Serif" w:cs="Microsoft Sans Serif"/>
          <w:sz w:val="20"/>
          <w:szCs w:val="20"/>
          <w:lang w:val="en"/>
        </w:rPr>
        <w:t xml:space="preserve"> </w:t>
      </w:r>
    </w:p>
    <w:p w:rsidR="000F4E7C" w:rsidRDefault="000F4E7C">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0F4E7C" w:rsidRDefault="000F4E7C">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0F4E7C" w:rsidRDefault="000F4E7C">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Wall cladding — general</w:t>
      </w:r>
    </w:p>
    <w:tbl>
      <w:tblPr>
        <w:tblW w:w="5000" w:type="pct"/>
        <w:tblCellMar>
          <w:top w:w="15" w:type="dxa"/>
          <w:left w:w="15" w:type="dxa"/>
          <w:bottom w:w="15" w:type="dxa"/>
          <w:right w:w="15" w:type="dxa"/>
        </w:tblCellMar>
        <w:tblLook w:val="04A0" w:firstRow="1" w:lastRow="0" w:firstColumn="1" w:lastColumn="0" w:noHBand="0" w:noVBand="1"/>
      </w:tblPr>
      <w:tblGrid>
        <w:gridCol w:w="7503"/>
        <w:gridCol w:w="790"/>
        <w:gridCol w:w="673"/>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0F4E7C" w:rsidRDefault="000F4E7C">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Fonts w:ascii="Microsoft Sans Serif" w:eastAsia="Times New Roman" w:hAnsi="Microsoft Sans Serif" w:cs="Microsoft Sans Serif"/>
              </w:rPr>
              <w:t xml:space="preserve">Use closer than 1m to relevant boundary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 wall greater than 3.5m high on a multi-level building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0F4E7C" w:rsidRDefault="000F4E7C">
            <w:pPr>
              <w:jc w:val="center"/>
              <w:rPr>
                <w:rFonts w:ascii="Microsoft Sans Serif" w:eastAsia="Times New Roman" w:hAnsi="Microsoft Sans Serif" w:cs="Microsoft Sans Serif"/>
                <w:b/>
                <w:bCs/>
              </w:rPr>
            </w:pPr>
          </w:p>
        </w:tc>
      </w:tr>
    </w:tbl>
    <w:p w:rsidR="000F4E7C" w:rsidRDefault="000F4E7C">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0F4E7C" w:rsidRDefault="000F4E7C">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0F4E7C" w:rsidRDefault="000F4E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B1 Structure</w:t>
      </w:r>
    </w:p>
    <w:p w:rsidR="000F4E7C" w:rsidRDefault="000F4E7C">
      <w:pPr>
        <w:pStyle w:val="NormalWeb"/>
        <w:divId w:val="66540392"/>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B1.3.1</w:t>
      </w:r>
    </w:p>
    <w:p w:rsidR="000F4E7C" w:rsidRDefault="000F4E7C">
      <w:pPr>
        <w:pStyle w:val="NormalWeb"/>
        <w:divId w:val="6654039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rupturing, becoming unstable, losing equilibrium, or collapsing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and throughout their lives.</w:t>
      </w:r>
    </w:p>
    <w:p w:rsidR="000F4E7C" w:rsidRDefault="000F4E7C">
      <w:pPr>
        <w:pStyle w:val="NormalWeb"/>
        <w:divId w:val="1393578795"/>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B1.3.2</w:t>
      </w:r>
    </w:p>
    <w:p w:rsidR="000F4E7C" w:rsidRDefault="000F4E7C">
      <w:pPr>
        <w:pStyle w:val="NormalWeb"/>
        <w:divId w:val="1393578795"/>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xml:space="preserve"> shall have a low probability of causing loss of amenity through undue deformation, vibratory response, degradation, or other physical characteristics throughout their lives, or during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alteratio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when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xml:space="preserve"> is in use.</w:t>
      </w:r>
    </w:p>
    <w:p w:rsidR="000F4E7C" w:rsidRDefault="000F4E7C">
      <w:pPr>
        <w:pStyle w:val="NormalWeb"/>
        <w:divId w:val="848103990"/>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B1.3.3</w:t>
      </w:r>
    </w:p>
    <w:p w:rsidR="000F4E7C" w:rsidRDefault="000F4E7C">
      <w:pPr>
        <w:pStyle w:val="NormalWeb"/>
        <w:divId w:val="848103990"/>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Account shall be taken of all physical conditions likely to affect the stability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and</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sitewor</w:t>
      </w:r>
      <w:r>
        <w:rPr>
          <w:rStyle w:val="tooltip-trigger"/>
          <w:rFonts w:ascii="Microsoft Sans Serif" w:hAnsi="Microsoft Sans Serif" w:cs="Microsoft Sans Serif"/>
          <w:i/>
          <w:iCs/>
          <w:sz w:val="20"/>
          <w:szCs w:val="20"/>
          <w:lang w:val="en"/>
        </w:rPr>
        <w:t>k</w:t>
      </w:r>
      <w:r>
        <w:rPr>
          <w:rFonts w:ascii="Microsoft Sans Serif" w:hAnsi="Microsoft Sans Serif" w:cs="Microsoft Sans Serif"/>
          <w:sz w:val="20"/>
          <w:szCs w:val="20"/>
          <w:lang w:val="en"/>
        </w:rPr>
        <w:t>, including:</w:t>
      </w:r>
    </w:p>
    <w:p w:rsidR="000F4E7C" w:rsidRDefault="000F4E7C">
      <w:pPr>
        <w:numPr>
          <w:ilvl w:val="0"/>
          <w:numId w:val="3"/>
        </w:numPr>
        <w:spacing w:before="100" w:beforeAutospacing="1" w:after="100" w:afterAutospacing="1"/>
        <w:divId w:val="84810399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(f) earthquake</w:t>
      </w:r>
    </w:p>
    <w:p w:rsidR="000F4E7C" w:rsidRDefault="000F4E7C">
      <w:pPr>
        <w:numPr>
          <w:ilvl w:val="0"/>
          <w:numId w:val="3"/>
        </w:numPr>
        <w:spacing w:before="100" w:beforeAutospacing="1" w:after="100" w:afterAutospacing="1"/>
        <w:divId w:val="84810399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(h) wind</w:t>
      </w:r>
    </w:p>
    <w:p w:rsidR="000F4E7C" w:rsidRDefault="000F4E7C">
      <w:pPr>
        <w:numPr>
          <w:ilvl w:val="0"/>
          <w:numId w:val="3"/>
        </w:numPr>
        <w:spacing w:before="100" w:beforeAutospacing="1" w:after="100" w:afterAutospacing="1"/>
        <w:divId w:val="848103990"/>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(m) differential movement</w:t>
      </w:r>
    </w:p>
    <w:p w:rsidR="000F4E7C" w:rsidRDefault="000F4E7C">
      <w:pPr>
        <w:pStyle w:val="NormalWeb"/>
        <w:divId w:val="1709185533"/>
        <w:rPr>
          <w:rFonts w:ascii="Microsoft Sans Serif" w:hAnsi="Microsoft Sans Serif" w:cs="Microsoft Sans Serif"/>
          <w:sz w:val="20"/>
          <w:szCs w:val="20"/>
          <w:lang w:val="en"/>
        </w:rPr>
      </w:pPr>
      <w:r>
        <w:rPr>
          <w:rFonts w:ascii="Microsoft Sans Serif" w:hAnsi="Microsoft Sans Serif" w:cs="Microsoft Sans Serif"/>
          <w:sz w:val="20"/>
          <w:szCs w:val="20"/>
          <w:lang w:val="en"/>
        </w:rPr>
        <w:t>B1.3.4</w:t>
      </w:r>
    </w:p>
    <w:p w:rsidR="000F4E7C" w:rsidRDefault="000F4E7C">
      <w:pPr>
        <w:pStyle w:val="NormalWeb"/>
        <w:divId w:val="1709185533"/>
        <w:rPr>
          <w:rFonts w:ascii="Microsoft Sans Serif" w:hAnsi="Microsoft Sans Serif" w:cs="Microsoft Sans Serif"/>
          <w:sz w:val="20"/>
          <w:szCs w:val="20"/>
          <w:lang w:val="en"/>
        </w:rPr>
      </w:pPr>
      <w:r>
        <w:rPr>
          <w:rFonts w:ascii="Microsoft Sans Serif" w:hAnsi="Microsoft Sans Serif" w:cs="Microsoft Sans Serif"/>
          <w:sz w:val="20"/>
          <w:szCs w:val="20"/>
          <w:lang w:val="en"/>
        </w:rPr>
        <w:t>Due allowances shall be made for:</w:t>
      </w:r>
    </w:p>
    <w:p w:rsidR="000F4E7C" w:rsidRDefault="000F4E7C">
      <w:pPr>
        <w:numPr>
          <w:ilvl w:val="0"/>
          <w:numId w:val="4"/>
        </w:numPr>
        <w:spacing w:before="100" w:beforeAutospacing="1" w:after="100" w:afterAutospacing="1"/>
        <w:divId w:val="17091855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0F4E7C" w:rsidRDefault="000F4E7C">
      <w:pPr>
        <w:numPr>
          <w:ilvl w:val="0"/>
          <w:numId w:val="4"/>
        </w:numPr>
        <w:spacing w:before="100" w:beforeAutospacing="1" w:after="100" w:afterAutospacing="1"/>
        <w:divId w:val="17091855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intended use of the</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w:t>
      </w:r>
      <w:r>
        <w:rPr>
          <w:rStyle w:val="tooltip-trigger"/>
          <w:rFonts w:ascii="Microsoft Sans Serif" w:eastAsia="Times New Roman" w:hAnsi="Microsoft Sans Serif" w:cs="Microsoft Sans Serif"/>
          <w:i/>
          <w:iCs/>
          <w:sz w:val="20"/>
          <w:szCs w:val="20"/>
          <w:lang w:val="en"/>
        </w:rPr>
        <w:t>g</w:t>
      </w:r>
      <w:r>
        <w:rPr>
          <w:rFonts w:ascii="Microsoft Sans Serif" w:eastAsia="Times New Roman" w:hAnsi="Microsoft Sans Serif" w:cs="Microsoft Sans Serif"/>
          <w:sz w:val="20"/>
          <w:szCs w:val="20"/>
          <w:lang w:val="en"/>
        </w:rPr>
        <w:t>,</w:t>
      </w:r>
    </w:p>
    <w:p w:rsidR="000F4E7C" w:rsidRDefault="000F4E7C">
      <w:pPr>
        <w:numPr>
          <w:ilvl w:val="0"/>
          <w:numId w:val="4"/>
        </w:numPr>
        <w:spacing w:before="100" w:beforeAutospacing="1" w:after="100" w:afterAutospacing="1"/>
        <w:divId w:val="17091855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effects of uncertainties resulting from</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or the sequence in which</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activities occur,</w:t>
      </w:r>
    </w:p>
    <w:p w:rsidR="000F4E7C" w:rsidRDefault="000F4E7C">
      <w:pPr>
        <w:numPr>
          <w:ilvl w:val="0"/>
          <w:numId w:val="4"/>
        </w:numPr>
        <w:spacing w:before="100" w:beforeAutospacing="1" w:after="100" w:afterAutospacing="1"/>
        <w:divId w:val="17091855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the characteristics of the site, and</w:t>
      </w:r>
    </w:p>
    <w:p w:rsidR="000F4E7C" w:rsidRDefault="000F4E7C">
      <w:pPr>
        <w:numPr>
          <w:ilvl w:val="0"/>
          <w:numId w:val="4"/>
        </w:numPr>
        <w:spacing w:before="100" w:beforeAutospacing="1" w:after="100" w:afterAutospacing="1"/>
        <w:divId w:val="170918553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accuracy limitations inherent in the methods used to predict the stability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building</w:t>
      </w:r>
      <w:r>
        <w:rPr>
          <w:rStyle w:val="tooltip-trigger"/>
          <w:rFonts w:ascii="Microsoft Sans Serif" w:eastAsia="Times New Roman" w:hAnsi="Microsoft Sans Serif" w:cs="Microsoft Sans Serif"/>
          <w:i/>
          <w:iCs/>
          <w:sz w:val="20"/>
          <w:szCs w:val="20"/>
          <w:lang w:val="en"/>
        </w:rPr>
        <w:t>s</w:t>
      </w:r>
    </w:p>
    <w:p w:rsidR="000F4E7C" w:rsidRDefault="000F4E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0F4E7C" w:rsidRDefault="000F4E7C">
      <w:pPr>
        <w:pStyle w:val="NormalWeb"/>
        <w:divId w:val="577911201"/>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0F4E7C" w:rsidRDefault="000F4E7C">
      <w:pPr>
        <w:pStyle w:val="NormalWeb"/>
        <w:divId w:val="577911201"/>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w:t>
      </w:r>
      <w:r>
        <w:rPr>
          <w:rFonts w:ascii="Microsoft Sans Serif" w:hAnsi="Microsoft Sans Serif" w:cs="Microsoft Sans Serif"/>
          <w:sz w:val="20"/>
          <w:szCs w:val="20"/>
          <w:lang w:val="en"/>
        </w:rPr>
        <w:t>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0F4E7C" w:rsidRDefault="000F4E7C">
      <w:pPr>
        <w:numPr>
          <w:ilvl w:val="0"/>
          <w:numId w:val="5"/>
        </w:numPr>
        <w:spacing w:before="100" w:beforeAutospacing="1" w:after="100" w:afterAutospacing="1"/>
        <w:divId w:val="577911201"/>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15 years if: those building elements (including the building envelope, exposed plumbing in the subfloor space, and in-built chimneys and flues) are moderately difficult to access or replace, or failure of those building elements to comply with the building code would go undetected during normal use of the building, but would be easily detected during normal maintenance.</w:t>
      </w:r>
    </w:p>
    <w:p w:rsidR="000F4E7C" w:rsidRDefault="000F4E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C3 Fire affecting areas beyond the fire source</w:t>
      </w:r>
    </w:p>
    <w:p w:rsidR="000F4E7C" w:rsidRDefault="000F4E7C">
      <w:pPr>
        <w:pStyle w:val="NormalWeb"/>
        <w:divId w:val="1692875706"/>
        <w:rPr>
          <w:rFonts w:ascii="Microsoft Sans Serif" w:hAnsi="Microsoft Sans Serif" w:cs="Microsoft Sans Serif"/>
          <w:sz w:val="20"/>
          <w:szCs w:val="20"/>
          <w:lang w:val="en"/>
        </w:rPr>
      </w:pPr>
      <w:r>
        <w:rPr>
          <w:rFonts w:ascii="Microsoft Sans Serif" w:hAnsi="Microsoft Sans Serif" w:cs="Microsoft Sans Serif"/>
          <w:sz w:val="20"/>
          <w:szCs w:val="20"/>
          <w:lang w:val="en"/>
        </w:rPr>
        <w:t>C3.5</w:t>
      </w:r>
    </w:p>
    <w:p w:rsidR="000F4E7C" w:rsidRDefault="000F4E7C">
      <w:pPr>
        <w:pStyle w:val="text"/>
        <w:divId w:val="1692875706"/>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designed and constructed so that</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does not spread more than 3.5 m vertically from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fire sourc</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over the external cladding of multi-level</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w:t>
      </w:r>
    </w:p>
    <w:p w:rsidR="000F4E7C" w:rsidRDefault="000F4E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E2 External moisture</w:t>
      </w:r>
    </w:p>
    <w:p w:rsidR="000F4E7C" w:rsidRDefault="000F4E7C">
      <w:pPr>
        <w:pStyle w:val="NormalWeb"/>
        <w:divId w:val="1530147385"/>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E2.3.2</w:t>
      </w:r>
    </w:p>
    <w:p w:rsidR="000F4E7C" w:rsidRDefault="000F4E7C">
      <w:pPr>
        <w:pStyle w:val="NormalWeb"/>
        <w:divId w:val="1530147385"/>
        <w:rPr>
          <w:rFonts w:ascii="Microsoft Sans Serif" w:hAnsi="Microsoft Sans Serif" w:cs="Microsoft Sans Serif"/>
          <w:sz w:val="20"/>
          <w:szCs w:val="20"/>
          <w:lang w:val="en"/>
        </w:rPr>
      </w:pPr>
      <w:r>
        <w:rPr>
          <w:rFonts w:ascii="Microsoft Sans Serif" w:hAnsi="Microsoft Sans Serif" w:cs="Microsoft Sans Serif"/>
          <w:sz w:val="20"/>
          <w:szCs w:val="20"/>
          <w:lang w:val="en"/>
        </w:rPr>
        <w:t>Roofs and exterior walls must prevent the penetration of water that could cause undue dampness, damage 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or both.</w:t>
      </w:r>
    </w:p>
    <w:p w:rsidR="000F4E7C" w:rsidRDefault="000F4E7C">
      <w:pPr>
        <w:pStyle w:val="NormalWeb"/>
        <w:divId w:val="1099642439"/>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E2.3.5</w:t>
      </w:r>
    </w:p>
    <w:p w:rsidR="000F4E7C" w:rsidRDefault="000F4E7C">
      <w:pPr>
        <w:pStyle w:val="NormalWeb"/>
        <w:divId w:val="1099642439"/>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cavities in</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 must be constructed in a way that prevents external moisture being accumulated or transferred and causing condensation, fungal growth, or the degradation of</w:t>
      </w:r>
      <w:r>
        <w:rPr>
          <w:rFonts w:ascii="Microsoft Sans Serif" w:hAnsi="Microsoft Sans Serif" w:cs="Microsoft Sans Serif"/>
          <w:sz w:val="20"/>
          <w:szCs w:val="20"/>
          <w:lang w:val="en"/>
        </w:rPr>
        <w:t> </w:t>
      </w:r>
      <w:r>
        <w:rPr>
          <w:rStyle w:val="tooltip-trigger"/>
          <w:rFonts w:ascii="Microsoft Sans Serif" w:hAnsi="Microsoft Sans Serif" w:cs="Microsoft Sans Serif"/>
          <w:sz w:val="20"/>
          <w:szCs w:val="20"/>
          <w:lang w:val="en"/>
        </w:rPr>
        <w:t>building element</w:t>
      </w:r>
      <w:r>
        <w:rPr>
          <w:rStyle w:val="tooltip-trigger"/>
          <w:rFonts w:ascii="Microsoft Sans Serif" w:hAnsi="Microsoft Sans Serif" w:cs="Microsoft Sans Serif"/>
          <w:sz w:val="20"/>
          <w:szCs w:val="20"/>
          <w:lang w:val="en"/>
        </w:rPr>
        <w:t>s</w:t>
      </w:r>
      <w:r>
        <w:rPr>
          <w:rFonts w:ascii="Microsoft Sans Serif" w:hAnsi="Microsoft Sans Serif" w:cs="Microsoft Sans Serif"/>
          <w:sz w:val="20"/>
          <w:szCs w:val="20"/>
          <w:lang w:val="en"/>
        </w:rPr>
        <w:t>.</w:t>
      </w:r>
    </w:p>
    <w:p w:rsidR="000F4E7C" w:rsidRDefault="000F4E7C">
      <w:pPr>
        <w:pStyle w:val="NormalWeb"/>
        <w:divId w:val="618609346"/>
        <w:rPr>
          <w:rFonts w:ascii="Microsoft Sans Serif" w:hAnsi="Microsoft Sans Serif" w:cs="Microsoft Sans Serif"/>
          <w:sz w:val="20"/>
          <w:szCs w:val="20"/>
          <w:lang w:val="en"/>
        </w:rPr>
      </w:pPr>
      <w:r>
        <w:rPr>
          <w:rFonts w:ascii="Microsoft Sans Serif" w:hAnsi="Microsoft Sans Serif" w:cs="Microsoft Sans Serif"/>
          <w:sz w:val="20"/>
          <w:szCs w:val="20"/>
          <w:lang w:val="en"/>
        </w:rPr>
        <w:t>E2.3.7</w:t>
      </w:r>
    </w:p>
    <w:p w:rsidR="000F4E7C" w:rsidRDefault="000F4E7C">
      <w:pPr>
        <w:pStyle w:val="NormalWeb"/>
        <w:divId w:val="618609346"/>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constructed in a way that makes due allowance for the following:</w:t>
      </w:r>
    </w:p>
    <w:p w:rsidR="000F4E7C" w:rsidRDefault="000F4E7C">
      <w:pPr>
        <w:numPr>
          <w:ilvl w:val="0"/>
          <w:numId w:val="6"/>
        </w:numPr>
        <w:spacing w:before="100" w:beforeAutospacing="1" w:after="100" w:afterAutospacing="1"/>
        <w:divId w:val="61860934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the consequences of failure:</w:t>
      </w:r>
    </w:p>
    <w:p w:rsidR="000F4E7C" w:rsidRDefault="000F4E7C">
      <w:pPr>
        <w:numPr>
          <w:ilvl w:val="0"/>
          <w:numId w:val="6"/>
        </w:numPr>
        <w:spacing w:before="100" w:beforeAutospacing="1" w:after="100" w:afterAutospacing="1"/>
        <w:divId w:val="61860934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 xml:space="preserve">the effects of uncertainties resulting from </w:t>
      </w:r>
      <w:r>
        <w:rPr>
          <w:rStyle w:val="Emphasis"/>
          <w:rFonts w:ascii="Microsoft Sans Serif" w:eastAsia="Times New Roman" w:hAnsi="Microsoft Sans Serif" w:cs="Microsoft Sans Serif"/>
          <w:sz w:val="20"/>
          <w:szCs w:val="20"/>
          <w:lang w:val="en"/>
        </w:rPr>
        <w:t>construction</w:t>
      </w:r>
      <w:r>
        <w:rPr>
          <w:rFonts w:ascii="Microsoft Sans Serif" w:eastAsia="Times New Roman" w:hAnsi="Microsoft Sans Serif" w:cs="Microsoft Sans Serif"/>
          <w:sz w:val="20"/>
          <w:szCs w:val="20"/>
          <w:lang w:val="en"/>
        </w:rPr>
        <w:t xml:space="preserve"> or from the sequence in which different aspects of</w:t>
      </w:r>
      <w:r>
        <w:rPr>
          <w:rFonts w:ascii="Microsoft Sans Serif" w:eastAsia="Times New Roman" w:hAnsi="Microsoft Sans Serif" w:cs="Microsoft Sans Serif"/>
          <w:sz w:val="20"/>
          <w:szCs w:val="20"/>
          <w:lang w:val="en"/>
        </w:rPr>
        <w:t xml:space="preserve"> </w:t>
      </w:r>
      <w:r>
        <w:rPr>
          <w:rStyle w:val="tooltip-trigger"/>
          <w:rFonts w:ascii="Microsoft Sans Serif" w:eastAsia="Times New Roman" w:hAnsi="Microsoft Sans Serif" w:cs="Microsoft Sans Serif"/>
          <w:i/>
          <w:iCs/>
          <w:sz w:val="20"/>
          <w:szCs w:val="20"/>
          <w:lang w:val="en"/>
        </w:rPr>
        <w:t>constructio</w:t>
      </w:r>
      <w:r>
        <w:rPr>
          <w:rStyle w:val="tooltip-trigger"/>
          <w:rFonts w:ascii="Microsoft Sans Serif" w:eastAsia="Times New Roman" w:hAnsi="Microsoft Sans Serif" w:cs="Microsoft Sans Serif"/>
          <w:i/>
          <w:iCs/>
          <w:sz w:val="20"/>
          <w:szCs w:val="20"/>
          <w:lang w:val="en"/>
        </w:rPr>
        <w:t>n</w:t>
      </w:r>
      <w:r>
        <w:rPr>
          <w:rFonts w:ascii="Microsoft Sans Serif" w:eastAsia="Times New Roman" w:hAnsi="Microsoft Sans Serif" w:cs="Microsoft Sans Serif"/>
          <w:sz w:val="20"/>
          <w:szCs w:val="20"/>
          <w:lang w:val="en"/>
        </w:rPr>
        <w:t xml:space="preserve"> occur:</w:t>
      </w:r>
    </w:p>
    <w:p w:rsidR="000F4E7C" w:rsidRDefault="000F4E7C">
      <w:pPr>
        <w:numPr>
          <w:ilvl w:val="0"/>
          <w:numId w:val="6"/>
        </w:numPr>
        <w:spacing w:before="100" w:beforeAutospacing="1" w:after="100" w:afterAutospacing="1"/>
        <w:divId w:val="618609346"/>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variation in the properties of materials and in the characteristics of the site.</w:t>
      </w:r>
    </w:p>
    <w:p w:rsidR="000F4E7C" w:rsidRDefault="000F4E7C">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0F4E7C" w:rsidRDefault="000F4E7C">
      <w:pPr>
        <w:pStyle w:val="NormalWeb"/>
        <w:divId w:val="907879184"/>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0F4E7C" w:rsidRDefault="000F4E7C">
      <w:pPr>
        <w:pStyle w:val="NormalWeb"/>
        <w:divId w:val="907879184"/>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13E"/>
    <w:multiLevelType w:val="multilevel"/>
    <w:tmpl w:val="A9C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50D06"/>
    <w:multiLevelType w:val="multilevel"/>
    <w:tmpl w:val="BBE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E546B6"/>
    <w:multiLevelType w:val="multilevel"/>
    <w:tmpl w:val="13BA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27D17"/>
    <w:multiLevelType w:val="multilevel"/>
    <w:tmpl w:val="5DCAA2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CC1424F"/>
    <w:multiLevelType w:val="multilevel"/>
    <w:tmpl w:val="0D70F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0751022"/>
    <w:multiLevelType w:val="multilevel"/>
    <w:tmpl w:val="2D08FC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030222">
    <w:abstractNumId w:val="5"/>
  </w:num>
  <w:num w:numId="2" w16cid:durableId="1534074188">
    <w:abstractNumId w:val="1"/>
  </w:num>
  <w:num w:numId="3" w16cid:durableId="1460225376">
    <w:abstractNumId w:val="2"/>
  </w:num>
  <w:num w:numId="4" w16cid:durableId="1389645351">
    <w:abstractNumId w:val="4"/>
  </w:num>
  <w:num w:numId="5" w16cid:durableId="265113412">
    <w:abstractNumId w:val="0"/>
  </w:num>
  <w:num w:numId="6" w16cid:durableId="1376270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4E7C"/>
    <w:rsid w:val="000F4E7C"/>
    <w:rsid w:val="0023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AA3D6-0F62-4CBB-9C88-0A98794E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 w:type="paragraph" w:customStyle="1" w:styleId="text">
    <w:name w:val="tex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392">
      <w:marLeft w:val="0"/>
      <w:marRight w:val="0"/>
      <w:marTop w:val="0"/>
      <w:marBottom w:val="510"/>
      <w:divBdr>
        <w:top w:val="none" w:sz="0" w:space="0" w:color="auto"/>
        <w:left w:val="none" w:sz="0" w:space="0" w:color="auto"/>
        <w:bottom w:val="none" w:sz="0" w:space="0" w:color="auto"/>
        <w:right w:val="none" w:sz="0" w:space="0" w:color="auto"/>
      </w:divBdr>
    </w:div>
    <w:div w:id="577911201">
      <w:marLeft w:val="0"/>
      <w:marRight w:val="0"/>
      <w:marTop w:val="0"/>
      <w:marBottom w:val="510"/>
      <w:divBdr>
        <w:top w:val="none" w:sz="0" w:space="0" w:color="auto"/>
        <w:left w:val="none" w:sz="0" w:space="0" w:color="auto"/>
        <w:bottom w:val="none" w:sz="0" w:space="0" w:color="auto"/>
        <w:right w:val="none" w:sz="0" w:space="0" w:color="auto"/>
      </w:divBdr>
    </w:div>
    <w:div w:id="618609346">
      <w:marLeft w:val="0"/>
      <w:marRight w:val="0"/>
      <w:marTop w:val="0"/>
      <w:marBottom w:val="510"/>
      <w:divBdr>
        <w:top w:val="none" w:sz="0" w:space="0" w:color="auto"/>
        <w:left w:val="none" w:sz="0" w:space="0" w:color="auto"/>
        <w:bottom w:val="none" w:sz="0" w:space="0" w:color="auto"/>
        <w:right w:val="none" w:sz="0" w:space="0" w:color="auto"/>
      </w:divBdr>
    </w:div>
    <w:div w:id="848103990">
      <w:marLeft w:val="0"/>
      <w:marRight w:val="0"/>
      <w:marTop w:val="0"/>
      <w:marBottom w:val="510"/>
      <w:divBdr>
        <w:top w:val="none" w:sz="0" w:space="0" w:color="auto"/>
        <w:left w:val="none" w:sz="0" w:space="0" w:color="auto"/>
        <w:bottom w:val="none" w:sz="0" w:space="0" w:color="auto"/>
        <w:right w:val="none" w:sz="0" w:space="0" w:color="auto"/>
      </w:divBdr>
    </w:div>
    <w:div w:id="907879184">
      <w:marLeft w:val="0"/>
      <w:marRight w:val="0"/>
      <w:marTop w:val="0"/>
      <w:marBottom w:val="510"/>
      <w:divBdr>
        <w:top w:val="none" w:sz="0" w:space="0" w:color="auto"/>
        <w:left w:val="none" w:sz="0" w:space="0" w:color="auto"/>
        <w:bottom w:val="none" w:sz="0" w:space="0" w:color="auto"/>
        <w:right w:val="none" w:sz="0" w:space="0" w:color="auto"/>
      </w:divBdr>
    </w:div>
    <w:div w:id="1099642439">
      <w:marLeft w:val="0"/>
      <w:marRight w:val="0"/>
      <w:marTop w:val="0"/>
      <w:marBottom w:val="510"/>
      <w:divBdr>
        <w:top w:val="none" w:sz="0" w:space="0" w:color="auto"/>
        <w:left w:val="none" w:sz="0" w:space="0" w:color="auto"/>
        <w:bottom w:val="none" w:sz="0" w:space="0" w:color="auto"/>
        <w:right w:val="none" w:sz="0" w:space="0" w:color="auto"/>
      </w:divBdr>
    </w:div>
    <w:div w:id="1393578795">
      <w:marLeft w:val="0"/>
      <w:marRight w:val="0"/>
      <w:marTop w:val="0"/>
      <w:marBottom w:val="510"/>
      <w:divBdr>
        <w:top w:val="none" w:sz="0" w:space="0" w:color="auto"/>
        <w:left w:val="none" w:sz="0" w:space="0" w:color="auto"/>
        <w:bottom w:val="none" w:sz="0" w:space="0" w:color="auto"/>
        <w:right w:val="none" w:sz="0" w:space="0" w:color="auto"/>
      </w:divBdr>
    </w:div>
    <w:div w:id="1530147385">
      <w:marLeft w:val="0"/>
      <w:marRight w:val="0"/>
      <w:marTop w:val="0"/>
      <w:marBottom w:val="510"/>
      <w:divBdr>
        <w:top w:val="none" w:sz="0" w:space="0" w:color="auto"/>
        <w:left w:val="none" w:sz="0" w:space="0" w:color="auto"/>
        <w:bottom w:val="none" w:sz="0" w:space="0" w:color="auto"/>
        <w:right w:val="none" w:sz="0" w:space="0" w:color="auto"/>
      </w:divBdr>
    </w:div>
    <w:div w:id="1692875706">
      <w:marLeft w:val="0"/>
      <w:marRight w:val="0"/>
      <w:marTop w:val="0"/>
      <w:marBottom w:val="510"/>
      <w:divBdr>
        <w:top w:val="none" w:sz="0" w:space="0" w:color="auto"/>
        <w:left w:val="none" w:sz="0" w:space="0" w:color="auto"/>
        <w:bottom w:val="none" w:sz="0" w:space="0" w:color="auto"/>
        <w:right w:val="none" w:sz="0" w:space="0" w:color="auto"/>
      </w:divBdr>
    </w:div>
    <w:div w:id="1709185533">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brecementsolutions.co.nz/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brecementsolutions.co.nz/docu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brecementsolutions.co.nz/documents" TargetMode="External"/><Relationship Id="rId11" Type="http://schemas.openxmlformats.org/officeDocument/2006/relationships/hyperlink" Target="http://www.fibrecementsolutions.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www.fibrecementsolution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6818</Characters>
  <Application>Microsoft Office Word</Application>
  <DocSecurity>4</DocSecurity>
  <Lines>235</Lines>
  <Paragraphs>184</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ETERPAN® MD BPIR Summary 3940</dc:title>
  <dc:subject/>
  <dc:creator>CARA-USER</dc:creator>
  <cp:keywords/>
  <dc:description/>
  <cp:lastModifiedBy>CARA-USER</cp:lastModifiedBy>
  <cp:revision>2</cp:revision>
  <dcterms:created xsi:type="dcterms:W3CDTF">2026-03-21T03:24:00Z</dcterms:created>
  <dcterms:modified xsi:type="dcterms:W3CDTF">2026-03-21T03:24:00Z</dcterms:modified>
</cp:coreProperties>
</file>