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1A501D" w:rsidRDefault="001A501D">
            <w:pPr>
              <w:pStyle w:val="NormalWeb"/>
              <w:rPr>
                <w:rFonts w:ascii="Microsoft Sans Serif" w:hAnsi="Microsoft Sans Serif" w:cs="Microsoft Sans Serif"/>
              </w:rPr>
            </w:pPr>
            <w:r>
              <w:rPr>
                <w:rStyle w:val="Strong"/>
                <w:rFonts w:ascii="Microsoft Sans Serif" w:hAnsi="Microsoft Sans Serif" w:cs="Microsoft Sans Serif"/>
              </w:rPr>
              <w:t>How to use this BPIR summary</w:t>
            </w:r>
          </w:p>
          <w:p w:rsidR="001A501D" w:rsidRDefault="001A501D">
            <w:pPr>
              <w:pStyle w:val="NormalWeb"/>
              <w:rPr>
                <w:rFonts w:ascii="Microsoft Sans Serif" w:hAnsi="Microsoft Sans Serif" w:cs="Microsoft Sans Serif"/>
              </w:rPr>
            </w:pPr>
            <w:r>
              <w:rPr>
                <w:rFonts w:ascii="Microsoft Sans Serif" w:hAnsi="Microsoft Sans Serif" w:cs="Microsoft Sans Serif"/>
              </w:rPr>
              <w:t xml:space="preserve">BPIR regulations do not prescribe any specific layout or formatting of required </w:t>
            </w:r>
            <w:hyperlink r:id="rId5" w:tgtFrame="_blank" w:history="1">
              <w:r>
                <w:rPr>
                  <w:rStyle w:val="Hyperlink"/>
                  <w:rFonts w:ascii="Microsoft Sans Serif" w:hAnsi="Microsoft Sans Serif" w:cs="Microsoft Sans Serif"/>
                </w:rPr>
                <w:t>disclosure information</w:t>
              </w:r>
            </w:hyperlink>
            <w:r>
              <w:rPr>
                <w:rFonts w:ascii="Microsoft Sans Serif" w:hAnsi="Microsoft Sans Serif" w:cs="Microsoft Sans Serif"/>
              </w:rPr>
              <w:t>. You may choose to take parts of this BPIR Ready summary and integrate it into your existing technical information, or you may choose to create a specific BPIR disclosure information document.</w:t>
            </w:r>
          </w:p>
          <w:p w:rsidR="001A501D" w:rsidRDefault="001A501D">
            <w:pPr>
              <w:pStyle w:val="NormalWeb"/>
              <w:rPr>
                <w:rFonts w:ascii="Microsoft Sans Serif" w:hAnsi="Microsoft Sans Serif" w:cs="Microsoft Sans Serif"/>
              </w:rPr>
            </w:pPr>
            <w:r>
              <w:rPr>
                <w:rFonts w:ascii="Microsoft Sans Serif" w:hAnsi="Microsoft Sans Serif" w:cs="Microsoft Sans Serif"/>
              </w:rPr>
              <w:t>To create a specific BPIR disclosure information document:</w:t>
            </w:r>
          </w:p>
          <w:p w:rsidR="001A501D" w:rsidRDefault="001A501D">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Download the DOCX or copy the summary into your preferred document editor</w:t>
            </w:r>
          </w:p>
          <w:p w:rsidR="001A501D" w:rsidRDefault="001A501D">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 xml:space="preserve">Edit the relevant parts of the document where desired, such as: </w:t>
            </w:r>
          </w:p>
          <w:p w:rsidR="001A501D" w:rsidRDefault="001A501D">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content adjustments to the summary (e.g. add/remove clauses)</w:t>
            </w:r>
          </w:p>
          <w:p w:rsidR="001A501D" w:rsidRDefault="001A501D">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Replace the placeholder 'responsible person' information</w:t>
            </w:r>
          </w:p>
          <w:p w:rsidR="001A501D" w:rsidRDefault="001A501D">
            <w:pPr>
              <w:numPr>
                <w:ilvl w:val="1"/>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Any layout alternations (e.g.removing the appendix and adding personal branding)</w:t>
            </w:r>
          </w:p>
          <w:p w:rsidR="001A501D" w:rsidRDefault="001A501D">
            <w:pPr>
              <w:numPr>
                <w:ilvl w:val="0"/>
                <w:numId w:val="1"/>
              </w:numPr>
              <w:spacing w:before="100" w:beforeAutospacing="1" w:after="100" w:afterAutospacing="1"/>
              <w:rPr>
                <w:rFonts w:ascii="Microsoft Sans Serif" w:eastAsia="Times New Roman" w:hAnsi="Microsoft Sans Serif" w:cs="Microsoft Sans Serif"/>
              </w:rPr>
            </w:pPr>
            <w:r>
              <w:rPr>
                <w:rFonts w:ascii="Microsoft Sans Serif" w:eastAsia="Times New Roman" w:hAnsi="Microsoft Sans Serif" w:cs="Microsoft Sans Serif"/>
              </w:rPr>
              <w:t>Export to your preferred format (e.g. PDF) and publish on your website</w:t>
            </w:r>
          </w:p>
        </w:tc>
      </w:tr>
    </w:tbl>
    <w:p w:rsidR="001A501D" w:rsidRDefault="001A501D">
      <w:pPr>
        <w:pStyle w:val="Heading2"/>
        <w:rPr>
          <w:rFonts w:ascii="Cambria" w:eastAsia="Times New Roman" w:hAnsi="Cambria" w:cs="Microsoft Sans Serif"/>
          <w:color w:val="4827EC"/>
          <w:sz w:val="42"/>
          <w:szCs w:val="42"/>
          <w:lang w:val="en"/>
        </w:rPr>
      </w:pPr>
      <w:r>
        <w:rPr>
          <w:rFonts w:ascii="Cambria" w:eastAsia="Times New Roman" w:hAnsi="Cambria" w:cs="Microsoft Sans Serif"/>
          <w:color w:val="333333"/>
          <w:sz w:val="42"/>
          <w:szCs w:val="42"/>
          <w:lang w:val="en"/>
        </w:rPr>
        <w:t>ETERPAN® MD</w:t>
      </w:r>
      <w:r>
        <w:rPr>
          <w:rFonts w:ascii="Cambria" w:eastAsia="Times New Roman" w:hAnsi="Cambria" w:cs="Microsoft Sans Serif"/>
          <w:color w:val="4827EC"/>
          <w:sz w:val="42"/>
          <w:szCs w:val="42"/>
          <w:lang w:val="en"/>
        </w:rPr>
        <w:br/>
        <w:t>BPIR Declaration</w:t>
      </w:r>
    </w:p>
    <w:p w:rsidR="001A501D" w:rsidRDefault="001A501D">
      <w:pPr>
        <w:pStyle w:val="margin-bottom-sm"/>
        <w:rPr>
          <w:rFonts w:ascii="Microsoft Sans Serif" w:hAnsi="Microsoft Sans Serif" w:cs="Microsoft Sans Serif"/>
          <w:sz w:val="20"/>
          <w:szCs w:val="20"/>
          <w:lang w:val="en"/>
        </w:rPr>
      </w:pPr>
      <w:r>
        <w:rPr>
          <w:rFonts w:ascii="Microsoft Sans Serif" w:hAnsi="Microsoft Sans Serif" w:cs="Microsoft Sans Serif"/>
          <w:sz w:val="20"/>
          <w:szCs w:val="20"/>
          <w:lang w:val="en"/>
        </w:rPr>
        <w:t>Version: v2</w:t>
      </w:r>
    </w:p>
    <w:p w:rsidR="001A501D" w:rsidRDefault="001A501D">
      <w:pPr>
        <w:pStyle w:val="Heading4"/>
        <w:pBdr>
          <w:top w:val="single" w:sz="6" w:space="8" w:color="4827EC"/>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 xml:space="preserve">Designated building product: </w:t>
      </w:r>
      <w:r>
        <w:rPr>
          <w:rStyle w:val="font-light"/>
          <w:rFonts w:ascii="Cambria" w:eastAsia="Times New Roman" w:hAnsi="Cambria" w:cs="Microsoft Sans Serif"/>
          <w:color w:val="4827EC"/>
          <w:sz w:val="30"/>
          <w:szCs w:val="30"/>
          <w:lang w:val="en"/>
        </w:rPr>
        <w:t>Class 1</w:t>
      </w:r>
    </w:p>
    <w:p w:rsidR="001A501D" w:rsidRDefault="001A501D">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Declaration</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Fibre Cement Solutions Ltd has provided this declaration to satisfy the provisions of Schedule 1(d) of the Building (Building Product Information Requirements) Regulations 2022.</w:t>
      </w:r>
    </w:p>
    <w:p w:rsidR="001A501D" w:rsidRDefault="001A501D">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Product/system</w:t>
      </w:r>
    </w:p>
    <w:tbl>
      <w:tblPr>
        <w:tblW w:w="5000" w:type="pct"/>
        <w:tblCellMar>
          <w:top w:w="15" w:type="dxa"/>
          <w:left w:w="15" w:type="dxa"/>
          <w:bottom w:w="15" w:type="dxa"/>
          <w:right w:w="15" w:type="dxa"/>
        </w:tblCellMar>
        <w:tblLook w:val="04A0" w:firstRow="1" w:lastRow="0" w:firstColumn="1" w:lastColumn="0" w:noHBand="0" w:noVBand="1"/>
      </w:tblPr>
      <w:tblGrid>
        <w:gridCol w:w="2690"/>
        <w:gridCol w:w="6276"/>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Name</w:t>
            </w:r>
          </w:p>
        </w:tc>
        <w:tc>
          <w:tcPr>
            <w:tcW w:w="3500" w:type="pct"/>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Fonts w:ascii="Microsoft Sans Serif" w:eastAsia="Times New Roman" w:hAnsi="Microsoft Sans Serif" w:cs="Microsoft Sans Serif"/>
              </w:rPr>
              <w:t>ETERPAN® MD</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Line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Identifier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Fonts w:ascii="Microsoft Sans Serif" w:eastAsia="Times New Roman" w:hAnsi="Microsoft Sans Serif" w:cs="Microsoft Sans Serif"/>
              </w:rPr>
              <w:t xml:space="preserve">ETERPAN® MD Fibre Cement </w:t>
            </w:r>
          </w:p>
        </w:tc>
      </w:tr>
    </w:tbl>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Description</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ETERPAN® is a multi-functional medium density fibre cement sheet designed for a wide range of applications including external cladding, base for stone and brick slips, soffits, decks, internal linings, flooring, sound insulation/absorption, fencing panels and rigid underlay. Crafted using an advanced “Flow On” production process and autoclaved at high temperatures and pressure, ETERPAN® offers exceptional strength.</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 xml:space="preserve">Sheet sizes range from 6mm, 9mm, 12mm, 18mm, 20mm and 24mm. </w:t>
      </w:r>
      <w:r>
        <w:rPr>
          <w:rFonts w:ascii="Microsoft Sans Serif" w:hAnsi="Microsoft Sans Serif" w:cs="Microsoft Sans Serif"/>
          <w:lang w:val="en"/>
        </w:rPr>
        <w:t>And are available in 1.2m x 2.4m, 1.2m x 2.7m and 1.2m x 3m</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Scope of use</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As ETERPAN has so many varied uses, please see our Technical Installation Guide found online here: www.fibrecementsolutions.co.nz/documents and review the section that covers the type of use you intend to use the board for.</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Conditions of use</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As specified by the architect.</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Relevant building code clauses</w:t>
      </w:r>
    </w:p>
    <w:p w:rsidR="001A501D" w:rsidRDefault="001A501D">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B1 Structure</w:t>
      </w:r>
      <w:r>
        <w:rPr>
          <w:rFonts w:ascii="Microsoft Sans Serif" w:hAnsi="Microsoft Sans Serif" w:cs="Microsoft Sans Serif"/>
          <w:lang w:val="en"/>
        </w:rPr>
        <w:t xml:space="preserve"> — B1.3.1, B1.3.2, B1.3.3 (f, h, m), B1.3.4</w:t>
      </w:r>
    </w:p>
    <w:p w:rsidR="001A501D" w:rsidRDefault="001A501D">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B2 Durability</w:t>
      </w:r>
      <w:r>
        <w:rPr>
          <w:rFonts w:ascii="Microsoft Sans Serif" w:hAnsi="Microsoft Sans Serif" w:cs="Microsoft Sans Serif"/>
          <w:lang w:val="en"/>
        </w:rPr>
        <w:t xml:space="preserve"> — B2.3.1 (b)</w:t>
      </w:r>
    </w:p>
    <w:p w:rsidR="001A501D" w:rsidRDefault="001A501D">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C3 Fire affecting areas beyond the fire source</w:t>
      </w:r>
      <w:r>
        <w:rPr>
          <w:rFonts w:ascii="Microsoft Sans Serif" w:hAnsi="Microsoft Sans Serif" w:cs="Microsoft Sans Serif"/>
          <w:lang w:val="en"/>
        </w:rPr>
        <w:t xml:space="preserve"> — C3.5</w:t>
      </w:r>
    </w:p>
    <w:p w:rsidR="001A501D" w:rsidRDefault="001A501D">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E2 External moisture</w:t>
      </w:r>
      <w:r>
        <w:rPr>
          <w:rFonts w:ascii="Microsoft Sans Serif" w:hAnsi="Microsoft Sans Serif" w:cs="Microsoft Sans Serif"/>
          <w:lang w:val="en"/>
        </w:rPr>
        <w:t xml:space="preserve"> — E2.3.2, E2.3.5, E2.3.7</w:t>
      </w:r>
    </w:p>
    <w:p w:rsidR="001A501D" w:rsidRDefault="001A501D">
      <w:pPr>
        <w:pStyle w:val="margin-bottom-sm"/>
        <w:rPr>
          <w:rFonts w:ascii="Microsoft Sans Serif" w:hAnsi="Microsoft Sans Serif" w:cs="Microsoft Sans Serif"/>
          <w:lang w:val="en"/>
        </w:rPr>
      </w:pPr>
      <w:r>
        <w:rPr>
          <w:rStyle w:val="Strong"/>
          <w:rFonts w:ascii="Microsoft Sans Serif" w:hAnsi="Microsoft Sans Serif" w:cs="Microsoft Sans Serif"/>
          <w:lang w:val="en"/>
        </w:rPr>
        <w:t>F2 Hazardous building materials</w:t>
      </w:r>
      <w:r>
        <w:rPr>
          <w:rFonts w:ascii="Microsoft Sans Serif" w:hAnsi="Microsoft Sans Serif" w:cs="Microsoft Sans Serif"/>
          <w:lang w:val="en"/>
        </w:rPr>
        <w:t xml:space="preserve"> — F2.3.1</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Contributions to compliance</w:t>
      </w:r>
    </w:p>
    <w:p w:rsidR="001A501D" w:rsidRDefault="001A501D">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 xml:space="preserve">E2/AS1 Acceptable Solution </w:t>
      </w:r>
    </w:p>
    <w:p w:rsidR="001A501D" w:rsidRDefault="001A501D">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Australian/New Zealand Standard, classified as type A under AS/NZS2908.2 standards</w:t>
      </w:r>
    </w:p>
    <w:p w:rsidR="001A501D" w:rsidRDefault="001A501D">
      <w:pPr>
        <w:numPr>
          <w:ilvl w:val="0"/>
          <w:numId w:val="2"/>
        </w:numPr>
        <w:spacing w:before="100" w:beforeAutospacing="1" w:after="100" w:afterAutospacing="1"/>
        <w:rPr>
          <w:rFonts w:ascii="Microsoft Sans Serif" w:eastAsia="Times New Roman" w:hAnsi="Microsoft Sans Serif" w:cs="Microsoft Sans Serif"/>
          <w:lang w:val="en"/>
        </w:rPr>
      </w:pPr>
      <w:r>
        <w:rPr>
          <w:rFonts w:ascii="Microsoft Sans Serif" w:eastAsia="Times New Roman" w:hAnsi="Microsoft Sans Serif" w:cs="Microsoft Sans Serif"/>
          <w:lang w:val="en"/>
        </w:rPr>
        <w:t>ETERPAN has been tested to AS/NZS 2918 standard and is classified as heat resistant wall lining.</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Supporting documentation</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The following additional documentation supports the above statements:</w:t>
      </w:r>
    </w:p>
    <w:tbl>
      <w:tblPr>
        <w:tblW w:w="5000" w:type="pct"/>
        <w:tblCellMar>
          <w:top w:w="15" w:type="dxa"/>
          <w:left w:w="15" w:type="dxa"/>
          <w:bottom w:w="15" w:type="dxa"/>
          <w:right w:w="15" w:type="dxa"/>
        </w:tblCellMar>
        <w:tblLook w:val="04A0" w:firstRow="1" w:lastRow="0" w:firstColumn="1" w:lastColumn="0" w:noHBand="0" w:noVBand="1"/>
      </w:tblPr>
      <w:tblGrid>
        <w:gridCol w:w="2690"/>
        <w:gridCol w:w="320"/>
        <w:gridCol w:w="5956"/>
      </w:tblGrid>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Strong"/>
                <w:rFonts w:ascii="Microsoft Sans Serif" w:eastAsia="Times New Roman" w:hAnsi="Microsoft Sans Serif" w:cs="Microsoft Sans Serif"/>
              </w:rPr>
              <w:t>ETERPAN® Technical Data Sheet</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hyperlink r:id="rId6" w:tgtFrame="_blank" w:history="1">
              <w:r>
                <w:rPr>
                  <w:rStyle w:val="Hyperlink"/>
                  <w:rFonts w:ascii="Microsoft Sans Serif" w:eastAsia="Times New Roman" w:hAnsi="Microsoft Sans Serif" w:cs="Microsoft Sans Serif"/>
                </w:rPr>
                <w:t>https://www.fibrecementsolutions.co.nz/documents</w:t>
              </w:r>
            </w:hyperlink>
          </w:p>
        </w:tc>
      </w:tr>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Strong"/>
                <w:rFonts w:ascii="Microsoft Sans Serif" w:eastAsia="Times New Roman" w:hAnsi="Microsoft Sans Serif" w:cs="Microsoft Sans Serif"/>
              </w:rPr>
              <w:t>ETERPAN® Installation and Technical Manual</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hyperlink r:id="rId7" w:tgtFrame="_blank" w:history="1">
              <w:r>
                <w:rPr>
                  <w:rStyle w:val="Hyperlink"/>
                  <w:rFonts w:ascii="Microsoft Sans Serif" w:eastAsia="Times New Roman" w:hAnsi="Microsoft Sans Serif" w:cs="Microsoft Sans Serif"/>
                </w:rPr>
                <w:t>https://www.fibrecementsolutions.co.nz/documents</w:t>
              </w:r>
            </w:hyperlink>
          </w:p>
        </w:tc>
      </w:tr>
      <w:tr w:rsidR="00000000">
        <w:tc>
          <w:tcPr>
            <w:tcW w:w="1500" w:type="pct"/>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Strong"/>
                <w:rFonts w:ascii="Microsoft Sans Serif" w:eastAsia="Times New Roman" w:hAnsi="Microsoft Sans Serif" w:cs="Microsoft Sans Serif"/>
              </w:rPr>
              <w:t>ETERPAN® Warranty Details</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hyperlink r:id="rId8" w:tgtFrame="_blank" w:history="1">
              <w:r>
                <w:rPr>
                  <w:rStyle w:val="Hyperlink"/>
                  <w:rFonts w:ascii="Microsoft Sans Serif" w:eastAsia="Times New Roman" w:hAnsi="Microsoft Sans Serif" w:cs="Microsoft Sans Serif"/>
                </w:rPr>
                <w:t>https://www.fibrecementsolutions.co.nz/documents</w:t>
              </w:r>
            </w:hyperlink>
          </w:p>
        </w:tc>
      </w:tr>
    </w:tbl>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For further information supporting ETERPAN® MD claims refer to our website.</w:t>
      </w:r>
    </w:p>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Contact details</w:t>
      </w:r>
    </w:p>
    <w:tbl>
      <w:tblPr>
        <w:tblW w:w="5000" w:type="pct"/>
        <w:tblCellMar>
          <w:top w:w="15" w:type="dxa"/>
          <w:left w:w="15" w:type="dxa"/>
          <w:bottom w:w="15" w:type="dxa"/>
          <w:right w:w="15" w:type="dxa"/>
        </w:tblCellMar>
        <w:tblLook w:val="04A0" w:firstRow="1" w:lastRow="0" w:firstColumn="1" w:lastColumn="0" w:noHBand="0" w:noVBand="1"/>
      </w:tblPr>
      <w:tblGrid>
        <w:gridCol w:w="4666"/>
        <w:gridCol w:w="4300"/>
      </w:tblGrid>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Manufacture location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Fonts w:ascii="Microsoft Sans Serif" w:eastAsia="Times New Roman" w:hAnsi="Microsoft Sans Serif" w:cs="Microsoft Sans Serif"/>
              </w:rPr>
              <w:t>Overseas</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Legal and trading name of manufacturer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ETEX Group</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Legal and trading name of importer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Fibre Cement Solutions Ltd</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address for service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 xml:space="preserve">10A Kaimahi Road </w:t>
            </w:r>
            <w:r>
              <w:rPr>
                <w:rFonts w:ascii="Microsoft Sans Serif" w:eastAsia="Times New Roman" w:hAnsi="Microsoft Sans Serif" w:cs="Microsoft Sans Serif"/>
              </w:rPr>
              <w:br/>
              <w:t>Auckland 0620</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website</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hyperlink r:id="rId9" w:history="1">
              <w:r>
                <w:rPr>
                  <w:rStyle w:val="Hyperlink"/>
                  <w:rFonts w:ascii="Microsoft Sans Serif" w:eastAsia="Times New Roman" w:hAnsi="Microsoft Sans Serif" w:cs="Microsoft Sans Serif"/>
                </w:rPr>
                <w:t>www.fibrecementsolutions.co.nz</w:t>
              </w:r>
            </w:hyperlink>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NZBN</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9429047133167</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email</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graeme@fibrecementsolutions.co.nz</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Style w:val="font-bold"/>
                <w:rFonts w:ascii="Microsoft Sans Serif" w:eastAsia="Times New Roman" w:hAnsi="Microsoft Sans Serif" w:cs="Microsoft Sans Serif"/>
                <w:b/>
                <w:bCs/>
              </w:rPr>
              <w:t>Importer phone number</w:t>
            </w:r>
          </w:p>
        </w:tc>
        <w:tc>
          <w:tcPr>
            <w:tcW w:w="0" w:type="auto"/>
            <w:tcBorders>
              <w:top w:val="single" w:sz="24" w:space="0" w:color="FFFFFF"/>
              <w:left w:val="single" w:sz="24" w:space="0" w:color="FFFFFF"/>
              <w:bottom w:val="single" w:sz="24" w:space="0" w:color="FFFFFF"/>
              <w:right w:val="single" w:sz="24" w:space="0" w:color="FFFFFF"/>
            </w:tcBorders>
            <w:shd w:val="clear" w:color="auto" w:fill="FAFAFA"/>
            <w:tcMar>
              <w:top w:w="150" w:type="dxa"/>
              <w:left w:w="150" w:type="dxa"/>
              <w:bottom w:w="150" w:type="dxa"/>
              <w:right w:w="150" w:type="dxa"/>
            </w:tcMar>
            <w:hideMark/>
          </w:tcPr>
          <w:p w:rsidR="001A501D" w:rsidRDefault="001A501D">
            <w:pPr>
              <w:wordWrap w:val="0"/>
              <w:rPr>
                <w:rFonts w:ascii="Microsoft Sans Serif" w:eastAsia="Times New Roman" w:hAnsi="Microsoft Sans Serif" w:cs="Microsoft Sans Serif"/>
              </w:rPr>
            </w:pPr>
            <w:r>
              <w:rPr>
                <w:rFonts w:ascii="Microsoft Sans Serif" w:eastAsia="Times New Roman" w:hAnsi="Microsoft Sans Serif" w:cs="Microsoft Sans Serif"/>
              </w:rPr>
              <w:t>09-9000-327</w:t>
            </w:r>
          </w:p>
        </w:tc>
      </w:tr>
    </w:tbl>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Responsible person</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As the responsible person as set out in Regulation 3, I confirm that the information supplied in this declaration is based on information supplied to the company as well as the company's own processes and is therefore to the best of my knowledge, correct.</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 xml:space="preserve">I can also confirm that ETERPAN® MD is not subject to a warning on ban under </w:t>
      </w:r>
      <w:hyperlink r:id="rId10" w:tgtFrame="_blank" w:history="1">
        <w:r>
          <w:rPr>
            <w:rStyle w:val="Hyperlink"/>
            <w:rFonts w:ascii="Microsoft Sans Serif" w:hAnsi="Microsoft Sans Serif" w:cs="Microsoft Sans Serif"/>
            <w:lang w:val="en"/>
          </w:rPr>
          <w:t>s26 of the Building Act</w:t>
        </w:r>
      </w:hyperlink>
      <w:r>
        <w:rPr>
          <w:rFonts w:ascii="Microsoft Sans Serif" w:hAnsi="Microsoft Sans Serif" w:cs="Microsoft Sans Serif"/>
          <w:lang w:val="en"/>
        </w:rPr>
        <w:t>.</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 xml:space="preserve">Signed for and on behalf of </w:t>
      </w:r>
      <w:r>
        <w:rPr>
          <w:rStyle w:val="Strong"/>
          <w:rFonts w:ascii="Microsoft Sans Serif" w:hAnsi="Microsoft Sans Serif" w:cs="Microsoft Sans Serif"/>
          <w:lang w:val="en"/>
        </w:rPr>
        <w:t>Fibre Cement Solutions Ltd:</w:t>
      </w:r>
    </w:p>
    <w:p w:rsidR="001A501D" w:rsidRDefault="001A501D">
      <w:pPr>
        <w:spacing w:before="180" w:after="100" w:afterAutospacing="1"/>
        <w:rPr>
          <w:rFonts w:ascii="Brush Script MT" w:hAnsi="Brush Script MT" w:cs="Microsoft Sans Serif"/>
          <w:sz w:val="45"/>
          <w:szCs w:val="45"/>
          <w:lang w:val="en"/>
        </w:rPr>
      </w:pPr>
      <w:r>
        <w:rPr>
          <w:rFonts w:ascii="Brush Script MT" w:hAnsi="Brush Script MT" w:cs="Microsoft Sans Serif"/>
          <w:sz w:val="45"/>
          <w:szCs w:val="45"/>
          <w:lang w:val="en"/>
        </w:rPr>
        <w:t>Your Signature</w:t>
      </w:r>
    </w:p>
    <w:p w:rsidR="001A501D" w:rsidRDefault="001A501D">
      <w:pPr>
        <w:pStyle w:val="NormalWeb"/>
        <w:rPr>
          <w:rFonts w:ascii="Microsoft Sans Serif" w:hAnsi="Microsoft Sans Serif" w:cs="Microsoft Sans Serif"/>
          <w:lang w:val="en"/>
        </w:rPr>
      </w:pPr>
      <w:r>
        <w:rPr>
          <w:rFonts w:ascii="Microsoft Sans Serif" w:hAnsi="Microsoft Sans Serif" w:cs="Microsoft Sans Serif"/>
          <w:lang w:val="en"/>
        </w:rPr>
        <w:t>Your Name</w:t>
      </w:r>
      <w:r>
        <w:rPr>
          <w:rFonts w:ascii="Microsoft Sans Serif" w:hAnsi="Microsoft Sans Serif" w:cs="Microsoft Sans Serif"/>
          <w:lang w:val="en"/>
        </w:rPr>
        <w:br/>
        <w:t>YOUR POSITION</w:t>
      </w:r>
      <w:r>
        <w:rPr>
          <w:rFonts w:ascii="Microsoft Sans Serif" w:hAnsi="Microsoft Sans Serif" w:cs="Microsoft Sans Serif"/>
          <w:lang w:val="en"/>
        </w:rPr>
        <w:br/>
        <w:t>Month Year</w:t>
      </w:r>
    </w:p>
    <w:p w:rsidR="001A501D" w:rsidRDefault="001A501D">
      <w:pPr>
        <w:pStyle w:val="border-top"/>
        <w:pBdr>
          <w:top w:val="single" w:sz="6" w:space="8" w:color="F2F2F2"/>
        </w:pBdr>
        <w:spacing w:before="0" w:after="0"/>
        <w:rPr>
          <w:rFonts w:ascii="Microsoft Sans Serif" w:hAnsi="Microsoft Sans Serif" w:cs="Microsoft Sans Serif"/>
          <w:sz w:val="20"/>
          <w:szCs w:val="20"/>
          <w:lang w:val="en"/>
        </w:rPr>
      </w:pPr>
      <w:r>
        <w:rPr>
          <w:rStyle w:val="margin-top-lg"/>
          <w:rFonts w:ascii="Microsoft Sans Serif" w:hAnsi="Microsoft Sans Serif" w:cs="Microsoft Sans Serif"/>
          <w:b/>
          <w:bCs/>
          <w:caps/>
          <w:sz w:val="20"/>
          <w:szCs w:val="20"/>
          <w:lang w:val="en"/>
        </w:rPr>
        <w:t>Fibre Cement Solutions Ltd</w:t>
      </w:r>
      <w:r>
        <w:rPr>
          <w:rFonts w:ascii="Microsoft Sans Serif" w:hAnsi="Microsoft Sans Serif" w:cs="Microsoft Sans Serif"/>
          <w:sz w:val="20"/>
          <w:szCs w:val="20"/>
          <w:lang w:val="en"/>
        </w:rPr>
        <w:br/>
        <w:t>10A Kaimahi Road Auckland 0620 New Zealand</w:t>
      </w:r>
      <w:r>
        <w:rPr>
          <w:rFonts w:ascii="Microsoft Sans Serif" w:hAnsi="Microsoft Sans Serif" w:cs="Microsoft Sans Serif"/>
          <w:sz w:val="20"/>
          <w:szCs w:val="20"/>
          <w:lang w:val="en"/>
        </w:rPr>
        <w:br/>
      </w:r>
      <w:r>
        <w:rPr>
          <w:rStyle w:val="color-primary"/>
          <w:rFonts w:ascii="Microsoft Sans Serif" w:hAnsi="Microsoft Sans Serif" w:cs="Microsoft Sans Serif"/>
          <w:color w:val="4827EC"/>
          <w:sz w:val="20"/>
          <w:szCs w:val="20"/>
          <w:lang w:val="en"/>
        </w:rPr>
        <w:t xml:space="preserve">09-9000-327 | </w:t>
      </w:r>
      <w:hyperlink r:id="rId11" w:tgtFrame="_blank" w:history="1">
        <w:r>
          <w:rPr>
            <w:rStyle w:val="Hyperlink"/>
            <w:rFonts w:ascii="Microsoft Sans Serif" w:hAnsi="Microsoft Sans Serif" w:cs="Microsoft Sans Serif"/>
            <w:sz w:val="20"/>
            <w:szCs w:val="20"/>
            <w:lang w:val="en"/>
          </w:rPr>
          <w:t>www.fibrecementsolutions.co.nz</w:t>
        </w:r>
      </w:hyperlink>
      <w:r>
        <w:rPr>
          <w:rFonts w:ascii="Microsoft Sans Serif" w:hAnsi="Microsoft Sans Serif" w:cs="Microsoft Sans Serif"/>
          <w:sz w:val="20"/>
          <w:szCs w:val="20"/>
          <w:lang w:val="en"/>
        </w:rPr>
        <w:t xml:space="preserve"> </w:t>
      </w:r>
    </w:p>
    <w:p w:rsidR="001A501D" w:rsidRDefault="001A501D">
      <w:pPr>
        <w:pStyle w:val="Heading2"/>
        <w:spacing w:before="180" w:beforeAutospacing="0"/>
        <w:rPr>
          <w:rFonts w:ascii="Cambria" w:eastAsia="Times New Roman" w:hAnsi="Cambria" w:cs="Microsoft Sans Serif"/>
          <w:color w:val="4827EC"/>
          <w:sz w:val="42"/>
          <w:szCs w:val="42"/>
          <w:lang w:val="en"/>
        </w:rPr>
      </w:pPr>
      <w:r>
        <w:rPr>
          <w:rFonts w:ascii="Microsoft Sans Serif" w:eastAsia="Times New Roman" w:hAnsi="Microsoft Sans Serif" w:cs="Microsoft Sans Serif"/>
          <w:lang w:val="en"/>
        </w:rPr>
        <w:br w:type="page"/>
      </w:r>
      <w:r>
        <w:rPr>
          <w:rFonts w:ascii="Cambria" w:eastAsia="Times New Roman" w:hAnsi="Cambria" w:cs="Microsoft Sans Serif"/>
          <w:color w:val="4827EC"/>
          <w:sz w:val="42"/>
          <w:szCs w:val="42"/>
          <w:lang w:val="en"/>
        </w:rPr>
        <w:t>Appendix</w:t>
      </w:r>
    </w:p>
    <w:tbl>
      <w:tblPr>
        <w:tblW w:w="5000" w:type="pct"/>
        <w:shd w:val="clear" w:color="auto" w:fill="EFECFD"/>
        <w:tblCellMar>
          <w:top w:w="480" w:type="dxa"/>
          <w:left w:w="480" w:type="dxa"/>
          <w:bottom w:w="480" w:type="dxa"/>
          <w:right w:w="480" w:type="dxa"/>
        </w:tblCellMar>
        <w:tblLook w:val="04A0" w:firstRow="1" w:lastRow="0" w:firstColumn="1" w:lastColumn="0" w:noHBand="0" w:noVBand="1"/>
      </w:tblPr>
      <w:tblGrid>
        <w:gridCol w:w="8966"/>
      </w:tblGrid>
      <w:tr w:rsidR="00000000">
        <w:tc>
          <w:tcPr>
            <w:tcW w:w="5000" w:type="pct"/>
            <w:tcBorders>
              <w:top w:val="single" w:sz="24" w:space="0" w:color="FFFFFF"/>
              <w:left w:val="single" w:sz="24" w:space="0" w:color="FFFFFF"/>
              <w:bottom w:val="single" w:sz="24" w:space="0" w:color="FFFFFF"/>
              <w:right w:val="single" w:sz="24" w:space="0" w:color="FFFFFF"/>
            </w:tcBorders>
            <w:shd w:val="clear" w:color="auto" w:fill="EFECFD"/>
            <w:tcMar>
              <w:top w:w="150" w:type="dxa"/>
              <w:left w:w="150" w:type="dxa"/>
              <w:bottom w:w="150" w:type="dxa"/>
              <w:right w:w="150" w:type="dxa"/>
            </w:tcMar>
            <w:hideMark/>
          </w:tcPr>
          <w:p w:rsidR="001A501D" w:rsidRDefault="001A501D">
            <w:pPr>
              <w:pStyle w:val="NormalWeb"/>
              <w:rPr>
                <w:rFonts w:ascii="Microsoft Sans Serif" w:hAnsi="Microsoft Sans Serif" w:cs="Microsoft Sans Serif"/>
              </w:rPr>
            </w:pPr>
            <w:r>
              <w:rPr>
                <w:rFonts w:ascii="Microsoft Sans Serif" w:hAnsi="Microsoft Sans Serif" w:cs="Microsoft Sans Serif"/>
              </w:rPr>
              <w:t>Note: The below appendix includes information relating to BPIR Ready.</w:t>
            </w:r>
            <w:r>
              <w:rPr>
                <w:rFonts w:ascii="Microsoft Sans Serif" w:hAnsi="Microsoft Sans Serif" w:cs="Microsoft Sans Serif"/>
              </w:rPr>
              <w:br/>
            </w:r>
            <w:r>
              <w:rPr>
                <w:rFonts w:ascii="Microsoft Sans Serif" w:hAnsi="Microsoft Sans Serif" w:cs="Microsoft Sans Serif"/>
              </w:rPr>
              <w:br/>
            </w:r>
            <w:r>
              <w:rPr>
                <w:rFonts w:ascii="Microsoft Sans Serif" w:hAnsi="Microsoft Sans Serif" w:cs="Microsoft Sans Serif"/>
              </w:rPr>
              <w:t>Publishing this information is not a requirement under BPIR. Its inclusion here is to provide a reference for how this BPIR summary was generated as well as to help summary creators understand the performance clauses suggested by BPIR Ready.</w:t>
            </w:r>
          </w:p>
        </w:tc>
      </w:tr>
    </w:tbl>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BPIR Ready selections</w:t>
      </w:r>
    </w:p>
    <w:p w:rsidR="001A501D" w:rsidRDefault="001A501D">
      <w:pPr>
        <w:pStyle w:val="NormalWeb"/>
        <w:rPr>
          <w:rFonts w:ascii="Microsoft Sans Serif" w:hAnsi="Microsoft Sans Serif" w:cs="Microsoft Sans Serif"/>
          <w:lang w:val="en"/>
        </w:rPr>
      </w:pPr>
      <w:r>
        <w:rPr>
          <w:rStyle w:val="Strong"/>
          <w:rFonts w:ascii="Microsoft Sans Serif" w:hAnsi="Microsoft Sans Serif" w:cs="Microsoft Sans Serif"/>
          <w:lang w:val="en"/>
        </w:rPr>
        <w:t>Category:</w:t>
      </w:r>
      <w:r>
        <w:rPr>
          <w:rFonts w:ascii="Microsoft Sans Serif" w:hAnsi="Microsoft Sans Serif" w:cs="Microsoft Sans Serif"/>
          <w:lang w:val="en"/>
        </w:rPr>
        <w:t xml:space="preserve"> Wall cladding — general</w:t>
      </w:r>
    </w:p>
    <w:tbl>
      <w:tblPr>
        <w:tblW w:w="5000" w:type="pct"/>
        <w:tblCellMar>
          <w:top w:w="15" w:type="dxa"/>
          <w:left w:w="15" w:type="dxa"/>
          <w:bottom w:w="15" w:type="dxa"/>
          <w:right w:w="15" w:type="dxa"/>
        </w:tblCellMar>
        <w:tblLook w:val="04A0" w:firstRow="1" w:lastRow="0" w:firstColumn="1" w:lastColumn="0" w:noHBand="0" w:noVBand="1"/>
      </w:tblPr>
      <w:tblGrid>
        <w:gridCol w:w="7503"/>
        <w:gridCol w:w="790"/>
        <w:gridCol w:w="673"/>
      </w:tblGrid>
      <w:tr w:rsidR="00000000">
        <w:trPr>
          <w:tblHeader/>
        </w:trPr>
        <w:tc>
          <w:tcPr>
            <w:tcW w:w="0" w:type="auto"/>
            <w:tcBorders>
              <w:top w:val="single" w:sz="24" w:space="0" w:color="FFFFFF"/>
              <w:left w:val="single" w:sz="24" w:space="0" w:color="FFFFFF"/>
              <w:bottom w:val="single" w:sz="24" w:space="0" w:color="FFFFFF"/>
              <w:right w:val="single" w:sz="24" w:space="0" w:color="FFFFFF"/>
            </w:tcBorders>
            <w:tcMar>
              <w:top w:w="150" w:type="dxa"/>
              <w:left w:w="150" w:type="dxa"/>
              <w:bottom w:w="150" w:type="dxa"/>
              <w:right w:w="150" w:type="dxa"/>
            </w:tcMar>
            <w:hideMark/>
          </w:tcPr>
          <w:p w:rsidR="001A501D" w:rsidRDefault="001A501D">
            <w:pPr>
              <w:rPr>
                <w:rFonts w:ascii="Microsoft Sans Serif" w:hAnsi="Microsoft Sans Serif" w:cs="Microsoft Sans Serif"/>
                <w:lang w:val="en"/>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Yes</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No</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Fonts w:ascii="Microsoft Sans Serif" w:eastAsia="Times New Roman" w:hAnsi="Microsoft Sans Serif" w:cs="Microsoft Sans Serif"/>
              </w:rPr>
              <w:t xml:space="preserve">Use closer than 1m to relevant boundary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r>
      <w:tr w:rsidR="00000000">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rPr>
                <w:rFonts w:ascii="Microsoft Sans Serif" w:eastAsia="Times New Roman" w:hAnsi="Microsoft Sans Serif" w:cs="Microsoft Sans Serif"/>
              </w:rPr>
            </w:pPr>
            <w:r>
              <w:rPr>
                <w:rFonts w:ascii="Microsoft Sans Serif" w:eastAsia="Times New Roman" w:hAnsi="Microsoft Sans Serif" w:cs="Microsoft Sans Serif"/>
              </w:rPr>
              <w:t xml:space="preserve">Use on a wall greater than 3.5m high on a multi-level building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jc w:val="center"/>
              <w:rPr>
                <w:rFonts w:ascii="Microsoft Sans Serif" w:eastAsia="Times New Roman" w:hAnsi="Microsoft Sans Serif" w:cs="Microsoft Sans Serif"/>
                <w:b/>
                <w:bCs/>
              </w:rPr>
            </w:pPr>
            <w:r>
              <w:rPr>
                <w:rFonts w:ascii="Microsoft Sans Serif" w:eastAsia="Times New Roman" w:hAnsi="Microsoft Sans Serif" w:cs="Microsoft Sans Serif"/>
                <w:b/>
                <w:bCs/>
              </w:rPr>
              <w:t xml:space="preserve">× </w:t>
            </w:r>
          </w:p>
        </w:tc>
        <w:tc>
          <w:tcPr>
            <w:tcW w:w="0" w:type="auto"/>
            <w:tcBorders>
              <w:top w:val="single" w:sz="24" w:space="0" w:color="FFFFFF"/>
              <w:left w:val="single" w:sz="24" w:space="0" w:color="FFFFFF"/>
              <w:bottom w:val="single" w:sz="24" w:space="0" w:color="FFFFFF"/>
              <w:right w:val="single" w:sz="24" w:space="0" w:color="FFFFFF"/>
            </w:tcBorders>
            <w:shd w:val="clear" w:color="auto" w:fill="F2F2F2"/>
            <w:tcMar>
              <w:top w:w="150" w:type="dxa"/>
              <w:left w:w="150" w:type="dxa"/>
              <w:bottom w:w="150" w:type="dxa"/>
              <w:right w:w="150" w:type="dxa"/>
            </w:tcMar>
            <w:hideMark/>
          </w:tcPr>
          <w:p w:rsidR="001A501D" w:rsidRDefault="001A501D">
            <w:pPr>
              <w:jc w:val="center"/>
              <w:rPr>
                <w:rFonts w:ascii="Microsoft Sans Serif" w:eastAsia="Times New Roman" w:hAnsi="Microsoft Sans Serif" w:cs="Microsoft Sans Serif"/>
                <w:b/>
                <w:bCs/>
              </w:rPr>
            </w:pPr>
          </w:p>
        </w:tc>
      </w:tr>
    </w:tbl>
    <w:p w:rsidR="001A501D" w:rsidRDefault="001A501D">
      <w:pPr>
        <w:rPr>
          <w:rFonts w:ascii="Microsoft Sans Serif" w:eastAsia="Times New Roman" w:hAnsi="Microsoft Sans Serif" w:cs="Microsoft Sans Serif"/>
          <w:lang w:val="en"/>
        </w:rPr>
      </w:pPr>
      <w:r>
        <w:rPr>
          <w:rFonts w:ascii="Microsoft Sans Serif" w:eastAsia="Times New Roman" w:hAnsi="Microsoft Sans Serif" w:cs="Microsoft Sans Serif"/>
          <w:lang w:val="en"/>
        </w:rPr>
        <w:br/>
      </w:r>
    </w:p>
    <w:p w:rsidR="001A501D" w:rsidRDefault="001A501D">
      <w:pPr>
        <w:pStyle w:val="Heading4"/>
        <w:pBdr>
          <w:top w:val="single" w:sz="6" w:space="8" w:color="F2F2F2"/>
        </w:pBdr>
        <w:spacing w:before="180" w:beforeAutospacing="0"/>
        <w:rPr>
          <w:rFonts w:ascii="Cambria" w:eastAsia="Times New Roman" w:hAnsi="Cambria" w:cs="Microsoft Sans Serif"/>
          <w:color w:val="4827EC"/>
          <w:sz w:val="30"/>
          <w:szCs w:val="30"/>
          <w:lang w:val="en"/>
        </w:rPr>
      </w:pPr>
      <w:r>
        <w:rPr>
          <w:rFonts w:ascii="Cambria" w:eastAsia="Times New Roman" w:hAnsi="Cambria" w:cs="Microsoft Sans Serif"/>
          <w:color w:val="4827EC"/>
          <w:sz w:val="30"/>
          <w:szCs w:val="30"/>
          <w:lang w:val="en"/>
        </w:rPr>
        <w:t>Building code performance clauses</w:t>
      </w:r>
    </w:p>
    <w:p w:rsidR="001A501D" w:rsidRDefault="001A501D">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B1 Structure</w:t>
      </w:r>
    </w:p>
    <w:p w:rsidR="001A501D" w:rsidRDefault="001A501D">
      <w:pPr>
        <w:pStyle w:val="NormalWeb"/>
        <w:divId w:val="1033844668"/>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B1.3.1</w:t>
      </w:r>
    </w:p>
    <w:p w:rsidR="001A501D" w:rsidRDefault="001A501D">
      <w:pPr>
        <w:pStyle w:val="NormalWeb"/>
        <w:divId w:val="1033844668"/>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xml:space="preserve"> shall have a low probability of rupturing, becoming unstable, losing equilibrium, or collapsing during</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or</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alteratio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and throughout their lives.</w:t>
      </w:r>
    </w:p>
    <w:p w:rsidR="001A501D" w:rsidRDefault="001A501D">
      <w:pPr>
        <w:pStyle w:val="NormalWeb"/>
        <w:divId w:val="869226862"/>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B1.3.2</w:t>
      </w:r>
    </w:p>
    <w:p w:rsidR="001A501D" w:rsidRDefault="001A501D">
      <w:pPr>
        <w:pStyle w:val="NormalWeb"/>
        <w:divId w:val="869226862"/>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xml:space="preserve"> shall have a low probability of causing loss of amenity through undue deformation, vibratory response, degradation, or other physical characteristics throughout their lives, or during</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or</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alteratio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when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w:t>
      </w:r>
      <w:r>
        <w:rPr>
          <w:rStyle w:val="tooltip-trigger"/>
          <w:rFonts w:ascii="Microsoft Sans Serif" w:hAnsi="Microsoft Sans Serif" w:cs="Microsoft Sans Serif"/>
          <w:i/>
          <w:iCs/>
          <w:sz w:val="20"/>
          <w:szCs w:val="20"/>
          <w:lang w:val="en"/>
        </w:rPr>
        <w:t>g</w:t>
      </w:r>
      <w:r>
        <w:rPr>
          <w:rFonts w:ascii="Microsoft Sans Serif" w:hAnsi="Microsoft Sans Serif" w:cs="Microsoft Sans Serif"/>
          <w:sz w:val="20"/>
          <w:szCs w:val="20"/>
          <w:lang w:val="en"/>
        </w:rPr>
        <w:t xml:space="preserve"> is in use.</w:t>
      </w:r>
    </w:p>
    <w:p w:rsidR="001A501D" w:rsidRDefault="001A501D">
      <w:pPr>
        <w:pStyle w:val="NormalWeb"/>
        <w:divId w:val="2099326152"/>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B1.3.3</w:t>
      </w:r>
    </w:p>
    <w:p w:rsidR="001A501D" w:rsidRDefault="001A501D">
      <w:pPr>
        <w:pStyle w:val="NormalWeb"/>
        <w:divId w:val="2099326152"/>
        <w:rPr>
          <w:rFonts w:ascii="Microsoft Sans Serif" w:hAnsi="Microsoft Sans Serif" w:cs="Microsoft Sans Serif"/>
          <w:sz w:val="20"/>
          <w:szCs w:val="20"/>
          <w:lang w:val="en"/>
        </w:rPr>
      </w:pPr>
      <w:r>
        <w:rPr>
          <w:rFonts w:ascii="Microsoft Sans Serif" w:hAnsi="Microsoft Sans Serif" w:cs="Microsoft Sans Serif"/>
          <w:sz w:val="20"/>
          <w:szCs w:val="20"/>
          <w:lang w:val="en"/>
        </w:rPr>
        <w:t>Account shall be taken of all physical conditions likely to affect the stability of</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and</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sitewor</w:t>
      </w:r>
      <w:r>
        <w:rPr>
          <w:rStyle w:val="tooltip-trigger"/>
          <w:rFonts w:ascii="Microsoft Sans Serif" w:hAnsi="Microsoft Sans Serif" w:cs="Microsoft Sans Serif"/>
          <w:i/>
          <w:iCs/>
          <w:sz w:val="20"/>
          <w:szCs w:val="20"/>
          <w:lang w:val="en"/>
        </w:rPr>
        <w:t>k</w:t>
      </w:r>
      <w:r>
        <w:rPr>
          <w:rFonts w:ascii="Microsoft Sans Serif" w:hAnsi="Microsoft Sans Serif" w:cs="Microsoft Sans Serif"/>
          <w:sz w:val="20"/>
          <w:szCs w:val="20"/>
          <w:lang w:val="en"/>
        </w:rPr>
        <w:t>, including:</w:t>
      </w:r>
    </w:p>
    <w:p w:rsidR="001A501D" w:rsidRDefault="001A501D">
      <w:pPr>
        <w:numPr>
          <w:ilvl w:val="0"/>
          <w:numId w:val="3"/>
        </w:numPr>
        <w:spacing w:before="100" w:beforeAutospacing="1" w:after="100" w:afterAutospacing="1"/>
        <w:divId w:val="2099326152"/>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(f) earthquake</w:t>
      </w:r>
    </w:p>
    <w:p w:rsidR="001A501D" w:rsidRDefault="001A501D">
      <w:pPr>
        <w:numPr>
          <w:ilvl w:val="0"/>
          <w:numId w:val="3"/>
        </w:numPr>
        <w:spacing w:before="100" w:beforeAutospacing="1" w:after="100" w:afterAutospacing="1"/>
        <w:divId w:val="2099326152"/>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(h) wind</w:t>
      </w:r>
    </w:p>
    <w:p w:rsidR="001A501D" w:rsidRDefault="001A501D">
      <w:pPr>
        <w:numPr>
          <w:ilvl w:val="0"/>
          <w:numId w:val="3"/>
        </w:numPr>
        <w:spacing w:before="100" w:beforeAutospacing="1" w:after="100" w:afterAutospacing="1"/>
        <w:divId w:val="2099326152"/>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(m) differential movement</w:t>
      </w:r>
    </w:p>
    <w:p w:rsidR="001A501D" w:rsidRDefault="001A501D">
      <w:pPr>
        <w:pStyle w:val="NormalWeb"/>
        <w:divId w:val="936795206"/>
        <w:rPr>
          <w:rFonts w:ascii="Microsoft Sans Serif" w:hAnsi="Microsoft Sans Serif" w:cs="Microsoft Sans Serif"/>
          <w:sz w:val="20"/>
          <w:szCs w:val="20"/>
          <w:lang w:val="en"/>
        </w:rPr>
      </w:pPr>
      <w:r>
        <w:rPr>
          <w:rFonts w:ascii="Microsoft Sans Serif" w:hAnsi="Microsoft Sans Serif" w:cs="Microsoft Sans Serif"/>
          <w:sz w:val="20"/>
          <w:szCs w:val="20"/>
          <w:lang w:val="en"/>
        </w:rPr>
        <w:t>B1.3.4</w:t>
      </w:r>
    </w:p>
    <w:p w:rsidR="001A501D" w:rsidRDefault="001A501D">
      <w:pPr>
        <w:pStyle w:val="NormalWeb"/>
        <w:divId w:val="936795206"/>
        <w:rPr>
          <w:rFonts w:ascii="Microsoft Sans Serif" w:hAnsi="Microsoft Sans Serif" w:cs="Microsoft Sans Serif"/>
          <w:sz w:val="20"/>
          <w:szCs w:val="20"/>
          <w:lang w:val="en"/>
        </w:rPr>
      </w:pPr>
      <w:r>
        <w:rPr>
          <w:rFonts w:ascii="Microsoft Sans Serif" w:hAnsi="Microsoft Sans Serif" w:cs="Microsoft Sans Serif"/>
          <w:sz w:val="20"/>
          <w:szCs w:val="20"/>
          <w:lang w:val="en"/>
        </w:rPr>
        <w:t>Due allowances shall be made for:</w:t>
      </w:r>
    </w:p>
    <w:p w:rsidR="001A501D" w:rsidRDefault="001A501D">
      <w:pPr>
        <w:numPr>
          <w:ilvl w:val="0"/>
          <w:numId w:val="4"/>
        </w:numPr>
        <w:spacing w:before="100" w:beforeAutospacing="1" w:after="100" w:afterAutospacing="1"/>
        <w:divId w:val="93679520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consequences of failure,</w:t>
      </w:r>
    </w:p>
    <w:p w:rsidR="001A501D" w:rsidRDefault="001A501D">
      <w:pPr>
        <w:numPr>
          <w:ilvl w:val="0"/>
          <w:numId w:val="4"/>
        </w:numPr>
        <w:spacing w:before="100" w:beforeAutospacing="1" w:after="100" w:afterAutospacing="1"/>
        <w:divId w:val="93679520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intended use of the</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w:t>
      </w:r>
      <w:r>
        <w:rPr>
          <w:rStyle w:val="tooltip-trigger"/>
          <w:rFonts w:ascii="Microsoft Sans Serif" w:eastAsia="Times New Roman" w:hAnsi="Microsoft Sans Serif" w:cs="Microsoft Sans Serif"/>
          <w:i/>
          <w:iCs/>
          <w:sz w:val="20"/>
          <w:szCs w:val="20"/>
          <w:lang w:val="en"/>
        </w:rPr>
        <w:t>g</w:t>
      </w:r>
      <w:r>
        <w:rPr>
          <w:rFonts w:ascii="Microsoft Sans Serif" w:eastAsia="Times New Roman" w:hAnsi="Microsoft Sans Serif" w:cs="Microsoft Sans Serif"/>
          <w:sz w:val="20"/>
          <w:szCs w:val="20"/>
          <w:lang w:val="en"/>
        </w:rPr>
        <w:t>,</w:t>
      </w:r>
    </w:p>
    <w:p w:rsidR="001A501D" w:rsidRDefault="001A501D">
      <w:pPr>
        <w:numPr>
          <w:ilvl w:val="0"/>
          <w:numId w:val="4"/>
        </w:numPr>
        <w:spacing w:before="100" w:beforeAutospacing="1" w:after="100" w:afterAutospacing="1"/>
        <w:divId w:val="93679520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effects of uncertainties resulting from</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activities, or the sequence in which</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activities occur,</w:t>
      </w:r>
    </w:p>
    <w:p w:rsidR="001A501D" w:rsidRDefault="001A501D">
      <w:pPr>
        <w:numPr>
          <w:ilvl w:val="0"/>
          <w:numId w:val="4"/>
        </w:numPr>
        <w:spacing w:before="100" w:beforeAutospacing="1" w:after="100" w:afterAutospacing="1"/>
        <w:divId w:val="93679520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variation in the properties of materials and the characteristics of the site, and</w:t>
      </w:r>
    </w:p>
    <w:p w:rsidR="001A501D" w:rsidRDefault="001A501D">
      <w:pPr>
        <w:numPr>
          <w:ilvl w:val="0"/>
          <w:numId w:val="4"/>
        </w:numPr>
        <w:spacing w:before="100" w:beforeAutospacing="1" w:after="100" w:afterAutospacing="1"/>
        <w:divId w:val="936795206"/>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accuracy limitations inherent in the methods used to predict the stability of</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building</w:t>
      </w:r>
      <w:r>
        <w:rPr>
          <w:rStyle w:val="tooltip-trigger"/>
          <w:rFonts w:ascii="Microsoft Sans Serif" w:eastAsia="Times New Roman" w:hAnsi="Microsoft Sans Serif" w:cs="Microsoft Sans Serif"/>
          <w:i/>
          <w:iCs/>
          <w:sz w:val="20"/>
          <w:szCs w:val="20"/>
          <w:lang w:val="en"/>
        </w:rPr>
        <w:t>s</w:t>
      </w:r>
    </w:p>
    <w:p w:rsidR="001A501D" w:rsidRDefault="001A501D">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B2 Durability</w:t>
      </w:r>
    </w:p>
    <w:p w:rsidR="001A501D" w:rsidRDefault="001A501D">
      <w:pPr>
        <w:pStyle w:val="NormalWeb"/>
        <w:divId w:val="1205022369"/>
        <w:rPr>
          <w:rFonts w:ascii="Microsoft Sans Serif" w:hAnsi="Microsoft Sans Serif" w:cs="Microsoft Sans Serif"/>
          <w:sz w:val="20"/>
          <w:szCs w:val="20"/>
          <w:lang w:val="en"/>
        </w:rPr>
      </w:pPr>
      <w:r>
        <w:rPr>
          <w:rFonts w:ascii="Microsoft Sans Serif" w:hAnsi="Microsoft Sans Serif" w:cs="Microsoft Sans Serif"/>
          <w:sz w:val="20"/>
          <w:szCs w:val="20"/>
          <w:lang w:val="en"/>
        </w:rPr>
        <w:t>B2.3.1</w:t>
      </w:r>
    </w:p>
    <w:p w:rsidR="001A501D" w:rsidRDefault="001A501D">
      <w:pPr>
        <w:pStyle w:val="NormalWeb"/>
        <w:divId w:val="1205022369"/>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with only normal maintenance, continue to satisfy the performance requirements of this code for the lesser of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specified intended lif</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of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w:t>
      </w:r>
      <w:r>
        <w:rPr>
          <w:rStyle w:val="tooltip-trigger"/>
          <w:rFonts w:ascii="Microsoft Sans Serif" w:hAnsi="Microsoft Sans Serif" w:cs="Microsoft Sans Serif"/>
          <w:i/>
          <w:iCs/>
          <w:sz w:val="20"/>
          <w:szCs w:val="20"/>
          <w:lang w:val="en"/>
        </w:rPr>
        <w:t>g</w:t>
      </w:r>
      <w:r>
        <w:rPr>
          <w:rFonts w:ascii="Microsoft Sans Serif" w:hAnsi="Microsoft Sans Serif" w:cs="Microsoft Sans Serif"/>
          <w:sz w:val="20"/>
          <w:szCs w:val="20"/>
          <w:lang w:val="en"/>
        </w:rPr>
        <w:t>, if stated, or:</w:t>
      </w:r>
    </w:p>
    <w:p w:rsidR="001A501D" w:rsidRDefault="001A501D">
      <w:pPr>
        <w:numPr>
          <w:ilvl w:val="0"/>
          <w:numId w:val="5"/>
        </w:numPr>
        <w:spacing w:before="100" w:beforeAutospacing="1" w:after="100" w:afterAutospacing="1"/>
        <w:divId w:val="1205022369"/>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 xml:space="preserve">(b) 15 years if: those building elements (including the building envelope, exposed plumbing in the subfloor space, and in-built chimneys and flues) are moderately difficult to access or replace, or </w:t>
      </w:r>
      <w:r>
        <w:rPr>
          <w:rFonts w:ascii="Microsoft Sans Serif" w:eastAsia="Times New Roman" w:hAnsi="Microsoft Sans Serif" w:cs="Microsoft Sans Serif"/>
          <w:sz w:val="20"/>
          <w:szCs w:val="20"/>
          <w:lang w:val="en"/>
        </w:rPr>
        <w:t>failure of those building elements to comply with the building code would go undetected during normal use of the building, but would be easily detected during normal maintenance.</w:t>
      </w:r>
    </w:p>
    <w:p w:rsidR="001A501D" w:rsidRDefault="001A501D">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C3 Fire affecting areas beyond the fire source</w:t>
      </w:r>
    </w:p>
    <w:p w:rsidR="001A501D" w:rsidRDefault="001A501D">
      <w:pPr>
        <w:pStyle w:val="NormalWeb"/>
        <w:divId w:val="2067407907"/>
        <w:rPr>
          <w:rFonts w:ascii="Microsoft Sans Serif" w:hAnsi="Microsoft Sans Serif" w:cs="Microsoft Sans Serif"/>
          <w:sz w:val="20"/>
          <w:szCs w:val="20"/>
          <w:lang w:val="en"/>
        </w:rPr>
      </w:pPr>
      <w:r>
        <w:rPr>
          <w:rFonts w:ascii="Microsoft Sans Serif" w:hAnsi="Microsoft Sans Serif" w:cs="Microsoft Sans Serif"/>
          <w:sz w:val="20"/>
          <w:szCs w:val="20"/>
          <w:lang w:val="en"/>
        </w:rPr>
        <w:t>C3.5</w:t>
      </w:r>
    </w:p>
    <w:p w:rsidR="001A501D" w:rsidRDefault="001A501D">
      <w:pPr>
        <w:pStyle w:val="text"/>
        <w:divId w:val="2067407907"/>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be designed and constructed so that</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fir</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does not spread more than 3.5 m vertically from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fire sourc</w:t>
      </w:r>
      <w:r>
        <w:rPr>
          <w:rStyle w:val="tooltip-trigger"/>
          <w:rFonts w:ascii="Microsoft Sans Serif" w:hAnsi="Microsoft Sans Serif" w:cs="Microsoft Sans Serif"/>
          <w:i/>
          <w:iCs/>
          <w:sz w:val="20"/>
          <w:szCs w:val="20"/>
          <w:lang w:val="en"/>
        </w:rPr>
        <w:t>e</w:t>
      </w:r>
      <w:r>
        <w:rPr>
          <w:rFonts w:ascii="Microsoft Sans Serif" w:hAnsi="Microsoft Sans Serif" w:cs="Microsoft Sans Serif"/>
          <w:sz w:val="20"/>
          <w:szCs w:val="20"/>
          <w:lang w:val="en"/>
        </w:rPr>
        <w:t xml:space="preserve"> over the external cladding of multi-level</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Style w:val="Emphasis"/>
          <w:rFonts w:ascii="Microsoft Sans Serif" w:hAnsi="Microsoft Sans Serif" w:cs="Microsoft Sans Serif"/>
          <w:sz w:val="20"/>
          <w:szCs w:val="20"/>
          <w:lang w:val="en"/>
        </w:rPr>
        <w:t>.</w:t>
      </w:r>
    </w:p>
    <w:p w:rsidR="001A501D" w:rsidRDefault="001A501D">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E2 External moisture</w:t>
      </w:r>
    </w:p>
    <w:p w:rsidR="001A501D" w:rsidRDefault="001A501D">
      <w:pPr>
        <w:pStyle w:val="NormalWeb"/>
        <w:divId w:val="1792672627"/>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E2.3.2</w:t>
      </w:r>
    </w:p>
    <w:p w:rsidR="001A501D" w:rsidRDefault="001A501D">
      <w:pPr>
        <w:pStyle w:val="NormalWeb"/>
        <w:divId w:val="1792672627"/>
        <w:rPr>
          <w:rFonts w:ascii="Microsoft Sans Serif" w:hAnsi="Microsoft Sans Serif" w:cs="Microsoft Sans Serif"/>
          <w:sz w:val="20"/>
          <w:szCs w:val="20"/>
          <w:lang w:val="en"/>
        </w:rPr>
      </w:pPr>
      <w:r>
        <w:rPr>
          <w:rFonts w:ascii="Microsoft Sans Serif" w:hAnsi="Microsoft Sans Serif" w:cs="Microsoft Sans Serif"/>
          <w:sz w:val="20"/>
          <w:szCs w:val="20"/>
          <w:lang w:val="en"/>
        </w:rPr>
        <w:t>Roofs and exterior walls must prevent the penetration of water that could cause undue dampness, damage to</w:t>
      </w:r>
      <w:r>
        <w:rPr>
          <w:rFonts w:ascii="Microsoft Sans Serif" w:hAnsi="Microsoft Sans Serif" w:cs="Microsoft Sans Serif"/>
          <w:sz w:val="20"/>
          <w:szCs w:val="20"/>
          <w:lang w:val="en"/>
        </w:rPr>
        <w:t> </w:t>
      </w: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or both.</w:t>
      </w:r>
    </w:p>
    <w:p w:rsidR="001A501D" w:rsidRDefault="001A501D">
      <w:pPr>
        <w:pStyle w:val="NormalWeb"/>
        <w:divId w:val="1708531087"/>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E2.3.5</w:t>
      </w:r>
    </w:p>
    <w:p w:rsidR="001A501D" w:rsidRDefault="001A501D">
      <w:pPr>
        <w:pStyle w:val="NormalWeb"/>
        <w:divId w:val="1708531087"/>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Concealed space</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and cavities in</w:t>
      </w:r>
      <w:r>
        <w:rPr>
          <w:rFonts w:ascii="Microsoft Sans Serif" w:hAnsi="Microsoft Sans Serif" w:cs="Microsoft Sans Serif"/>
          <w:sz w:val="20"/>
          <w:szCs w:val="20"/>
          <w:lang w:val="en"/>
        </w:rPr>
        <w:t> </w:t>
      </w:r>
      <w:r>
        <w:rPr>
          <w:rStyle w:val="tooltip-trigger"/>
          <w:rFonts w:ascii="Microsoft Sans Serif" w:hAnsi="Microsoft Sans Serif" w:cs="Microsoft Sans Serif"/>
          <w:sz w:val="20"/>
          <w:szCs w:val="20"/>
          <w:lang w:val="en"/>
        </w:rPr>
        <w:t>building</w:t>
      </w:r>
      <w:r>
        <w:rPr>
          <w:rStyle w:val="tooltip-trigger"/>
          <w:rFonts w:ascii="Microsoft Sans Serif" w:hAnsi="Microsoft Sans Serif" w:cs="Microsoft Sans Serif"/>
          <w:sz w:val="20"/>
          <w:szCs w:val="20"/>
          <w:lang w:val="en"/>
        </w:rPr>
        <w:t>s</w:t>
      </w:r>
      <w:r>
        <w:rPr>
          <w:rFonts w:ascii="Microsoft Sans Serif" w:hAnsi="Microsoft Sans Serif" w:cs="Microsoft Sans Serif"/>
          <w:sz w:val="20"/>
          <w:szCs w:val="20"/>
          <w:lang w:val="en"/>
        </w:rPr>
        <w:t> must be constructed in a way that prevents external moisture being accumulated or transferred and causing condensation, fungal growth, or the degradation of</w:t>
      </w:r>
      <w:r>
        <w:rPr>
          <w:rFonts w:ascii="Microsoft Sans Serif" w:hAnsi="Microsoft Sans Serif" w:cs="Microsoft Sans Serif"/>
          <w:sz w:val="20"/>
          <w:szCs w:val="20"/>
          <w:lang w:val="en"/>
        </w:rPr>
        <w:t> </w:t>
      </w:r>
      <w:r>
        <w:rPr>
          <w:rStyle w:val="tooltip-trigger"/>
          <w:rFonts w:ascii="Microsoft Sans Serif" w:hAnsi="Microsoft Sans Serif" w:cs="Microsoft Sans Serif"/>
          <w:sz w:val="20"/>
          <w:szCs w:val="20"/>
          <w:lang w:val="en"/>
        </w:rPr>
        <w:t>building element</w:t>
      </w:r>
      <w:r>
        <w:rPr>
          <w:rStyle w:val="tooltip-trigger"/>
          <w:rFonts w:ascii="Microsoft Sans Serif" w:hAnsi="Microsoft Sans Serif" w:cs="Microsoft Sans Serif"/>
          <w:sz w:val="20"/>
          <w:szCs w:val="20"/>
          <w:lang w:val="en"/>
        </w:rPr>
        <w:t>s</w:t>
      </w:r>
      <w:r>
        <w:rPr>
          <w:rFonts w:ascii="Microsoft Sans Serif" w:hAnsi="Microsoft Sans Serif" w:cs="Microsoft Sans Serif"/>
          <w:sz w:val="20"/>
          <w:szCs w:val="20"/>
          <w:lang w:val="en"/>
        </w:rPr>
        <w:t>.</w:t>
      </w:r>
    </w:p>
    <w:p w:rsidR="001A501D" w:rsidRDefault="001A501D">
      <w:pPr>
        <w:pStyle w:val="NormalWeb"/>
        <w:divId w:val="1761635615"/>
        <w:rPr>
          <w:rFonts w:ascii="Microsoft Sans Serif" w:hAnsi="Microsoft Sans Serif" w:cs="Microsoft Sans Serif"/>
          <w:sz w:val="20"/>
          <w:szCs w:val="20"/>
          <w:lang w:val="en"/>
        </w:rPr>
      </w:pPr>
      <w:r>
        <w:rPr>
          <w:rFonts w:ascii="Microsoft Sans Serif" w:hAnsi="Microsoft Sans Serif" w:cs="Microsoft Sans Serif"/>
          <w:sz w:val="20"/>
          <w:szCs w:val="20"/>
          <w:lang w:val="en"/>
        </w:rPr>
        <w:t>E2.3.7</w:t>
      </w:r>
    </w:p>
    <w:p w:rsidR="001A501D" w:rsidRDefault="001A501D">
      <w:pPr>
        <w:pStyle w:val="NormalWeb"/>
        <w:divId w:val="1761635615"/>
        <w:rPr>
          <w:rFonts w:ascii="Microsoft Sans Serif" w:hAnsi="Microsoft Sans Serif" w:cs="Microsoft Sans Serif"/>
          <w:sz w:val="20"/>
          <w:szCs w:val="20"/>
          <w:lang w:val="en"/>
        </w:rPr>
      </w:pPr>
      <w:r>
        <w:rPr>
          <w:rStyle w:val="tooltip-trigger"/>
          <w:rFonts w:ascii="Microsoft Sans Serif" w:hAnsi="Microsoft Sans Serif" w:cs="Microsoft Sans Serif"/>
          <w:i/>
          <w:iCs/>
          <w:sz w:val="20"/>
          <w:szCs w:val="20"/>
          <w:lang w:val="en"/>
        </w:rPr>
        <w:t>Building element</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xml:space="preserve"> must be constructed in a way that makes due allowance for the following:</w:t>
      </w:r>
    </w:p>
    <w:p w:rsidR="001A501D" w:rsidRDefault="001A501D">
      <w:pPr>
        <w:numPr>
          <w:ilvl w:val="0"/>
          <w:numId w:val="6"/>
        </w:numPr>
        <w:spacing w:before="100" w:beforeAutospacing="1" w:after="100" w:afterAutospacing="1"/>
        <w:divId w:val="1761635615"/>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the consequences of failure:</w:t>
      </w:r>
    </w:p>
    <w:p w:rsidR="001A501D" w:rsidRDefault="001A501D">
      <w:pPr>
        <w:numPr>
          <w:ilvl w:val="0"/>
          <w:numId w:val="6"/>
        </w:numPr>
        <w:spacing w:before="100" w:beforeAutospacing="1" w:after="100" w:afterAutospacing="1"/>
        <w:divId w:val="1761635615"/>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 xml:space="preserve">the effects of uncertainties resulting from </w:t>
      </w:r>
      <w:r>
        <w:rPr>
          <w:rStyle w:val="Emphasis"/>
          <w:rFonts w:ascii="Microsoft Sans Serif" w:eastAsia="Times New Roman" w:hAnsi="Microsoft Sans Serif" w:cs="Microsoft Sans Serif"/>
          <w:sz w:val="20"/>
          <w:szCs w:val="20"/>
          <w:lang w:val="en"/>
        </w:rPr>
        <w:t>construction</w:t>
      </w:r>
      <w:r>
        <w:rPr>
          <w:rFonts w:ascii="Microsoft Sans Serif" w:eastAsia="Times New Roman" w:hAnsi="Microsoft Sans Serif" w:cs="Microsoft Sans Serif"/>
          <w:sz w:val="20"/>
          <w:szCs w:val="20"/>
          <w:lang w:val="en"/>
        </w:rPr>
        <w:t xml:space="preserve"> or from the sequence in which different aspects of</w:t>
      </w:r>
      <w:r>
        <w:rPr>
          <w:rFonts w:ascii="Microsoft Sans Serif" w:eastAsia="Times New Roman" w:hAnsi="Microsoft Sans Serif" w:cs="Microsoft Sans Serif"/>
          <w:sz w:val="20"/>
          <w:szCs w:val="20"/>
          <w:lang w:val="en"/>
        </w:rPr>
        <w:t xml:space="preserve"> </w:t>
      </w:r>
      <w:r>
        <w:rPr>
          <w:rStyle w:val="tooltip-trigger"/>
          <w:rFonts w:ascii="Microsoft Sans Serif" w:eastAsia="Times New Roman" w:hAnsi="Microsoft Sans Serif" w:cs="Microsoft Sans Serif"/>
          <w:i/>
          <w:iCs/>
          <w:sz w:val="20"/>
          <w:szCs w:val="20"/>
          <w:lang w:val="en"/>
        </w:rPr>
        <w:t>constructio</w:t>
      </w:r>
      <w:r>
        <w:rPr>
          <w:rStyle w:val="tooltip-trigger"/>
          <w:rFonts w:ascii="Microsoft Sans Serif" w:eastAsia="Times New Roman" w:hAnsi="Microsoft Sans Serif" w:cs="Microsoft Sans Serif"/>
          <w:i/>
          <w:iCs/>
          <w:sz w:val="20"/>
          <w:szCs w:val="20"/>
          <w:lang w:val="en"/>
        </w:rPr>
        <w:t>n</w:t>
      </w:r>
      <w:r>
        <w:rPr>
          <w:rFonts w:ascii="Microsoft Sans Serif" w:eastAsia="Times New Roman" w:hAnsi="Microsoft Sans Serif" w:cs="Microsoft Sans Serif"/>
          <w:sz w:val="20"/>
          <w:szCs w:val="20"/>
          <w:lang w:val="en"/>
        </w:rPr>
        <w:t xml:space="preserve"> occur:</w:t>
      </w:r>
    </w:p>
    <w:p w:rsidR="001A501D" w:rsidRDefault="001A501D">
      <w:pPr>
        <w:numPr>
          <w:ilvl w:val="0"/>
          <w:numId w:val="6"/>
        </w:numPr>
        <w:spacing w:before="100" w:beforeAutospacing="1" w:after="100" w:afterAutospacing="1"/>
        <w:divId w:val="1761635615"/>
        <w:rPr>
          <w:rFonts w:ascii="Microsoft Sans Serif" w:eastAsia="Times New Roman" w:hAnsi="Microsoft Sans Serif" w:cs="Microsoft Sans Serif"/>
          <w:sz w:val="20"/>
          <w:szCs w:val="20"/>
          <w:lang w:val="en"/>
        </w:rPr>
      </w:pPr>
      <w:r>
        <w:rPr>
          <w:rFonts w:ascii="Microsoft Sans Serif" w:eastAsia="Times New Roman" w:hAnsi="Microsoft Sans Serif" w:cs="Microsoft Sans Serif"/>
          <w:sz w:val="20"/>
          <w:szCs w:val="20"/>
          <w:lang w:val="en"/>
        </w:rPr>
        <w:t>variation in the properties of materials and in the characteristics of the site.</w:t>
      </w:r>
    </w:p>
    <w:p w:rsidR="001A501D" w:rsidRDefault="001A501D">
      <w:pPr>
        <w:pStyle w:val="Heading4"/>
        <w:spacing w:before="510" w:beforeAutospacing="0"/>
        <w:rPr>
          <w:rFonts w:ascii="Microsoft Sans Serif" w:eastAsia="Times New Roman" w:hAnsi="Microsoft Sans Serif" w:cs="Microsoft Sans Serif"/>
          <w:sz w:val="30"/>
          <w:szCs w:val="30"/>
          <w:lang w:val="en"/>
        </w:rPr>
      </w:pPr>
      <w:r>
        <w:rPr>
          <w:rFonts w:ascii="Microsoft Sans Serif" w:eastAsia="Times New Roman" w:hAnsi="Microsoft Sans Serif" w:cs="Microsoft Sans Serif"/>
          <w:sz w:val="30"/>
          <w:szCs w:val="30"/>
          <w:lang w:val="en"/>
        </w:rPr>
        <w:t>F2 Hazardous building materials</w:t>
      </w:r>
    </w:p>
    <w:p w:rsidR="001A501D" w:rsidRDefault="001A501D">
      <w:pPr>
        <w:pStyle w:val="NormalWeb"/>
        <w:divId w:val="1489125756"/>
        <w:rPr>
          <w:rFonts w:ascii="Microsoft Sans Serif" w:hAnsi="Microsoft Sans Serif" w:cs="Microsoft Sans Serif"/>
          <w:sz w:val="20"/>
          <w:szCs w:val="20"/>
          <w:lang w:val="en"/>
        </w:rPr>
      </w:pPr>
      <w:r>
        <w:rPr>
          <w:rFonts w:ascii="Microsoft Sans Serif" w:hAnsi="Microsoft Sans Serif" w:cs="Microsoft Sans Serif"/>
          <w:sz w:val="20"/>
          <w:szCs w:val="20"/>
          <w:lang w:val="en"/>
        </w:rPr>
        <w:t>F2.3.1</w:t>
      </w:r>
    </w:p>
    <w:p w:rsidR="001A501D" w:rsidRDefault="001A501D">
      <w:pPr>
        <w:pStyle w:val="NormalWeb"/>
        <w:divId w:val="1489125756"/>
        <w:rPr>
          <w:rFonts w:ascii="Microsoft Sans Serif" w:hAnsi="Microsoft Sans Serif" w:cs="Microsoft Sans Serif"/>
          <w:sz w:val="20"/>
          <w:szCs w:val="20"/>
          <w:lang w:val="en"/>
        </w:rPr>
      </w:pPr>
      <w:r>
        <w:rPr>
          <w:rFonts w:ascii="Microsoft Sans Serif" w:hAnsi="Microsoft Sans Serif" w:cs="Microsoft Sans Serif"/>
          <w:sz w:val="20"/>
          <w:szCs w:val="20"/>
          <w:lang w:val="en"/>
        </w:rPr>
        <w:t>The quantities of gas, liquid, radiation or solid particles emitted by materials used in the</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constructio</w:t>
      </w:r>
      <w:r>
        <w:rPr>
          <w:rStyle w:val="tooltip-trigger"/>
          <w:rFonts w:ascii="Microsoft Sans Serif" w:hAnsi="Microsoft Sans Serif" w:cs="Microsoft Sans Serif"/>
          <w:i/>
          <w:iCs/>
          <w:sz w:val="20"/>
          <w:szCs w:val="20"/>
          <w:lang w:val="en"/>
        </w:rPr>
        <w:t>n</w:t>
      </w:r>
      <w:r>
        <w:rPr>
          <w:rFonts w:ascii="Microsoft Sans Serif" w:hAnsi="Microsoft Sans Serif" w:cs="Microsoft Sans Serif"/>
          <w:sz w:val="20"/>
          <w:szCs w:val="20"/>
          <w:lang w:val="en"/>
        </w:rPr>
        <w:t xml:space="preserve"> of</w:t>
      </w:r>
      <w:r>
        <w:rPr>
          <w:rFonts w:ascii="Microsoft Sans Serif" w:hAnsi="Microsoft Sans Serif" w:cs="Microsoft Sans Serif"/>
          <w:sz w:val="20"/>
          <w:szCs w:val="20"/>
          <w:lang w:val="en"/>
        </w:rPr>
        <w:t xml:space="preserve"> </w:t>
      </w:r>
      <w:r>
        <w:rPr>
          <w:rStyle w:val="tooltip-trigger"/>
          <w:rFonts w:ascii="Microsoft Sans Serif" w:hAnsi="Microsoft Sans Serif" w:cs="Microsoft Sans Serif"/>
          <w:i/>
          <w:iCs/>
          <w:sz w:val="20"/>
          <w:szCs w:val="20"/>
          <w:lang w:val="en"/>
        </w:rPr>
        <w:t>building</w:t>
      </w:r>
      <w:r>
        <w:rPr>
          <w:rStyle w:val="tooltip-trigger"/>
          <w:rFonts w:ascii="Microsoft Sans Serif" w:hAnsi="Microsoft Sans Serif" w:cs="Microsoft Sans Serif"/>
          <w:i/>
          <w:iCs/>
          <w:sz w:val="20"/>
          <w:szCs w:val="20"/>
          <w:lang w:val="en"/>
        </w:rPr>
        <w:t>s</w:t>
      </w:r>
      <w:r>
        <w:rPr>
          <w:rFonts w:ascii="Microsoft Sans Serif" w:hAnsi="Microsoft Sans Serif" w:cs="Microsoft Sans Serif"/>
          <w:sz w:val="20"/>
          <w:szCs w:val="20"/>
          <w:lang w:val="en"/>
        </w:rPr>
        <w:t>, shall not give rise to harmful concentrations at the surface of the material where the material is exposed, or in the atmosphere of any space.</w:t>
      </w:r>
    </w:p>
    <w:sectPr w:rsidR="001A501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1384"/>
    <w:multiLevelType w:val="multilevel"/>
    <w:tmpl w:val="D28E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87E82"/>
    <w:multiLevelType w:val="multilevel"/>
    <w:tmpl w:val="04C66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00173E"/>
    <w:multiLevelType w:val="multilevel"/>
    <w:tmpl w:val="AED48B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AE91DE1"/>
    <w:multiLevelType w:val="multilevel"/>
    <w:tmpl w:val="11E6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6659ED"/>
    <w:multiLevelType w:val="multilevel"/>
    <w:tmpl w:val="52B43F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900140"/>
    <w:multiLevelType w:val="multilevel"/>
    <w:tmpl w:val="5038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612503">
    <w:abstractNumId w:val="4"/>
  </w:num>
  <w:num w:numId="2" w16cid:durableId="79839774">
    <w:abstractNumId w:val="3"/>
  </w:num>
  <w:num w:numId="3" w16cid:durableId="315765012">
    <w:abstractNumId w:val="5"/>
  </w:num>
  <w:num w:numId="4" w16cid:durableId="1221795212">
    <w:abstractNumId w:val="1"/>
  </w:num>
  <w:num w:numId="5" w16cid:durableId="289018308">
    <w:abstractNumId w:val="0"/>
  </w:num>
  <w:num w:numId="6" w16cid:durableId="1384791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929B2"/>
    <w:rsid w:val="001A501D"/>
    <w:rsid w:val="00DF59A4"/>
    <w:rsid w:val="00E92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83121F7-6AE9-4C8B-950F-775A5541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paragraph" w:customStyle="1" w:styleId="margin-bottom-sm">
    <w:name w:val="margin-bottom-sm"/>
    <w:basedOn w:val="Normal"/>
    <w:pPr>
      <w:spacing w:before="100" w:beforeAutospacing="1" w:after="100" w:afterAutospacing="1"/>
    </w:p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character" w:customStyle="1" w:styleId="font-light">
    <w:name w:val="font-light"/>
    <w:basedOn w:val="DefaultParagraphFont"/>
  </w:style>
  <w:style w:type="character" w:customStyle="1" w:styleId="font-bold">
    <w:name w:val="font-bold"/>
    <w:basedOn w:val="DefaultParagraphFont"/>
  </w:style>
  <w:style w:type="paragraph" w:customStyle="1" w:styleId="clause-summary">
    <w:name w:val="clause-summary"/>
    <w:basedOn w:val="Normal"/>
    <w:pPr>
      <w:spacing w:before="100" w:beforeAutospacing="1" w:after="100" w:afterAutospacing="1"/>
    </w:pPr>
  </w:style>
  <w:style w:type="paragraph" w:customStyle="1" w:styleId="border-top">
    <w:name w:val="border-top"/>
    <w:basedOn w:val="Normal"/>
    <w:pPr>
      <w:spacing w:before="100" w:beforeAutospacing="1" w:after="100" w:afterAutospacing="1"/>
    </w:pPr>
  </w:style>
  <w:style w:type="character" w:customStyle="1" w:styleId="margin-top-lg">
    <w:name w:val="margin-top-lg"/>
    <w:basedOn w:val="DefaultParagraphFont"/>
  </w:style>
  <w:style w:type="character" w:customStyle="1" w:styleId="color-primary">
    <w:name w:val="color-primary"/>
    <w:basedOn w:val="DefaultParagraphFont"/>
  </w:style>
  <w:style w:type="character" w:styleId="Emphasis">
    <w:name w:val="Emphasis"/>
    <w:basedOn w:val="DefaultParagraphFont"/>
    <w:uiPriority w:val="20"/>
    <w:qFormat/>
    <w:rPr>
      <w:i/>
      <w:iCs/>
    </w:rPr>
  </w:style>
  <w:style w:type="character" w:customStyle="1" w:styleId="tooltip-trigger">
    <w:name w:val="tooltip-trigger"/>
    <w:basedOn w:val="DefaultParagraphFont"/>
  </w:style>
  <w:style w:type="paragraph" w:customStyle="1" w:styleId="text">
    <w:name w:val="text"/>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26862">
      <w:marLeft w:val="0"/>
      <w:marRight w:val="0"/>
      <w:marTop w:val="0"/>
      <w:marBottom w:val="510"/>
      <w:divBdr>
        <w:top w:val="none" w:sz="0" w:space="0" w:color="auto"/>
        <w:left w:val="none" w:sz="0" w:space="0" w:color="auto"/>
        <w:bottom w:val="none" w:sz="0" w:space="0" w:color="auto"/>
        <w:right w:val="none" w:sz="0" w:space="0" w:color="auto"/>
      </w:divBdr>
    </w:div>
    <w:div w:id="936795206">
      <w:marLeft w:val="0"/>
      <w:marRight w:val="0"/>
      <w:marTop w:val="0"/>
      <w:marBottom w:val="510"/>
      <w:divBdr>
        <w:top w:val="none" w:sz="0" w:space="0" w:color="auto"/>
        <w:left w:val="none" w:sz="0" w:space="0" w:color="auto"/>
        <w:bottom w:val="none" w:sz="0" w:space="0" w:color="auto"/>
        <w:right w:val="none" w:sz="0" w:space="0" w:color="auto"/>
      </w:divBdr>
    </w:div>
    <w:div w:id="1033844668">
      <w:marLeft w:val="0"/>
      <w:marRight w:val="0"/>
      <w:marTop w:val="0"/>
      <w:marBottom w:val="510"/>
      <w:divBdr>
        <w:top w:val="none" w:sz="0" w:space="0" w:color="auto"/>
        <w:left w:val="none" w:sz="0" w:space="0" w:color="auto"/>
        <w:bottom w:val="none" w:sz="0" w:space="0" w:color="auto"/>
        <w:right w:val="none" w:sz="0" w:space="0" w:color="auto"/>
      </w:divBdr>
    </w:div>
    <w:div w:id="1205022369">
      <w:marLeft w:val="0"/>
      <w:marRight w:val="0"/>
      <w:marTop w:val="0"/>
      <w:marBottom w:val="510"/>
      <w:divBdr>
        <w:top w:val="none" w:sz="0" w:space="0" w:color="auto"/>
        <w:left w:val="none" w:sz="0" w:space="0" w:color="auto"/>
        <w:bottom w:val="none" w:sz="0" w:space="0" w:color="auto"/>
        <w:right w:val="none" w:sz="0" w:space="0" w:color="auto"/>
      </w:divBdr>
    </w:div>
    <w:div w:id="1489125756">
      <w:marLeft w:val="0"/>
      <w:marRight w:val="0"/>
      <w:marTop w:val="0"/>
      <w:marBottom w:val="510"/>
      <w:divBdr>
        <w:top w:val="none" w:sz="0" w:space="0" w:color="auto"/>
        <w:left w:val="none" w:sz="0" w:space="0" w:color="auto"/>
        <w:bottom w:val="none" w:sz="0" w:space="0" w:color="auto"/>
        <w:right w:val="none" w:sz="0" w:space="0" w:color="auto"/>
      </w:divBdr>
    </w:div>
    <w:div w:id="1708531087">
      <w:marLeft w:val="0"/>
      <w:marRight w:val="0"/>
      <w:marTop w:val="0"/>
      <w:marBottom w:val="510"/>
      <w:divBdr>
        <w:top w:val="none" w:sz="0" w:space="0" w:color="auto"/>
        <w:left w:val="none" w:sz="0" w:space="0" w:color="auto"/>
        <w:bottom w:val="none" w:sz="0" w:space="0" w:color="auto"/>
        <w:right w:val="none" w:sz="0" w:space="0" w:color="auto"/>
      </w:divBdr>
    </w:div>
    <w:div w:id="1761635615">
      <w:marLeft w:val="0"/>
      <w:marRight w:val="0"/>
      <w:marTop w:val="0"/>
      <w:marBottom w:val="510"/>
      <w:divBdr>
        <w:top w:val="none" w:sz="0" w:space="0" w:color="auto"/>
        <w:left w:val="none" w:sz="0" w:space="0" w:color="auto"/>
        <w:bottom w:val="none" w:sz="0" w:space="0" w:color="auto"/>
        <w:right w:val="none" w:sz="0" w:space="0" w:color="auto"/>
      </w:divBdr>
    </w:div>
    <w:div w:id="1792672627">
      <w:marLeft w:val="0"/>
      <w:marRight w:val="0"/>
      <w:marTop w:val="0"/>
      <w:marBottom w:val="510"/>
      <w:divBdr>
        <w:top w:val="none" w:sz="0" w:space="0" w:color="auto"/>
        <w:left w:val="none" w:sz="0" w:space="0" w:color="auto"/>
        <w:bottom w:val="none" w:sz="0" w:space="0" w:color="auto"/>
        <w:right w:val="none" w:sz="0" w:space="0" w:color="auto"/>
      </w:divBdr>
    </w:div>
    <w:div w:id="2067407907">
      <w:marLeft w:val="0"/>
      <w:marRight w:val="0"/>
      <w:marTop w:val="0"/>
      <w:marBottom w:val="510"/>
      <w:divBdr>
        <w:top w:val="none" w:sz="0" w:space="0" w:color="auto"/>
        <w:left w:val="none" w:sz="0" w:space="0" w:color="auto"/>
        <w:bottom w:val="none" w:sz="0" w:space="0" w:color="auto"/>
        <w:right w:val="none" w:sz="0" w:space="0" w:color="auto"/>
      </w:divBdr>
    </w:div>
    <w:div w:id="2099326152">
      <w:marLeft w:val="0"/>
      <w:marRight w:val="0"/>
      <w:marTop w:val="0"/>
      <w:marBottom w:val="51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brecementsolutions.co.nz/docum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ibrecementsolutions.co.nz/docum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brecementsolutions.co.nz/documents" TargetMode="External"/><Relationship Id="rId11" Type="http://schemas.openxmlformats.org/officeDocument/2006/relationships/hyperlink" Target="http://www.fibrecementsolutions.co.nz" TargetMode="External"/><Relationship Id="rId5" Type="http://schemas.openxmlformats.org/officeDocument/2006/relationships/hyperlink" Target="https://bpir.nz/bpir-regulations-and-requirements/disclosure-information" TargetMode="External"/><Relationship Id="rId10" Type="http://schemas.openxmlformats.org/officeDocument/2006/relationships/hyperlink" Target="https://www.legislation.govt.nz/act/public/2004/0072/latest/DLM306353.html" TargetMode="External"/><Relationship Id="rId4" Type="http://schemas.openxmlformats.org/officeDocument/2006/relationships/webSettings" Target="webSettings.xml"/><Relationship Id="rId9" Type="http://schemas.openxmlformats.org/officeDocument/2006/relationships/hyperlink" Target="http://www.fibrecementsolutions.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1190</Words>
  <Characters>6736</Characters>
  <Application>Microsoft Office Word</Application>
  <DocSecurity>4</DocSecurity>
  <Lines>89</Lines>
  <Paragraphs>18</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ETERPAN® MD BPIR Summary 3940</dc:title>
  <dc:subject/>
  <dc:creator>CARA-USER</dc:creator>
  <cp:keywords/>
  <dc:description/>
  <cp:lastModifiedBy>CARA-USER</cp:lastModifiedBy>
  <cp:revision>2</cp:revision>
  <dcterms:created xsi:type="dcterms:W3CDTF">2026-09-17T02:16:00Z</dcterms:created>
  <dcterms:modified xsi:type="dcterms:W3CDTF">2026-09-17T02:16:00Z</dcterms:modified>
</cp:coreProperties>
</file>